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32"/>
          <w:szCs w:val="32"/>
        </w:rPr>
      </w:pPr>
      <w:r w:rsidRPr="00A54AE1">
        <w:rPr>
          <w:rStyle w:val="a4"/>
          <w:rFonts w:ascii="Arial" w:hAnsi="Arial" w:cs="Arial"/>
          <w:color w:val="000000" w:themeColor="text1"/>
          <w:sz w:val="32"/>
          <w:szCs w:val="32"/>
        </w:rPr>
        <w:t>高等学校哲学社会科学繁荣计划专项资金管理办法</w:t>
      </w: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t>第一章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总</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则</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第一条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为促进高校哲学社会科学事业持续健康协调发展，加强和规范</w:t>
      </w:r>
      <w:hyperlink r:id="rId4" w:tgtFrame="_blank" w:history="1">
        <w:r w:rsidRPr="00A54AE1">
          <w:rPr>
            <w:rStyle w:val="a5"/>
            <w:rFonts w:ascii="Arial" w:hAnsi="Arial" w:cs="Arial"/>
            <w:color w:val="000000" w:themeColor="text1"/>
            <w:sz w:val="21"/>
            <w:szCs w:val="21"/>
            <w:u w:val="none"/>
          </w:rPr>
          <w:t>高等学校</w:t>
        </w:r>
      </w:hyperlink>
      <w:r w:rsidRPr="00A54AE1">
        <w:rPr>
          <w:rFonts w:ascii="Arial" w:hAnsi="Arial" w:cs="Arial"/>
          <w:color w:val="000000" w:themeColor="text1"/>
          <w:sz w:val="21"/>
          <w:szCs w:val="21"/>
        </w:rPr>
        <w:t>哲学社会科学繁荣计划专项资金</w:t>
      </w:r>
      <w:r w:rsidRPr="00A54AE1">
        <w:rPr>
          <w:rFonts w:ascii="Arial" w:hAnsi="Arial" w:cs="Arial"/>
          <w:color w:val="000000" w:themeColor="text1"/>
          <w:sz w:val="21"/>
          <w:szCs w:val="21"/>
        </w:rPr>
        <w:t>(</w:t>
      </w:r>
      <w:r w:rsidRPr="00A54AE1">
        <w:rPr>
          <w:rFonts w:ascii="Arial" w:hAnsi="Arial" w:cs="Arial"/>
          <w:color w:val="000000" w:themeColor="text1"/>
          <w:sz w:val="21"/>
          <w:szCs w:val="21"/>
        </w:rPr>
        <w:t>以下简称繁荣计划专项资金</w:t>
      </w:r>
      <w:r w:rsidRPr="00A54AE1">
        <w:rPr>
          <w:rFonts w:ascii="Arial" w:hAnsi="Arial" w:cs="Arial"/>
          <w:color w:val="000000" w:themeColor="text1"/>
          <w:sz w:val="21"/>
          <w:szCs w:val="21"/>
        </w:rPr>
        <w:t>)</w:t>
      </w:r>
      <w:r w:rsidRPr="00A54AE1">
        <w:rPr>
          <w:rFonts w:ascii="Arial" w:hAnsi="Arial" w:cs="Arial"/>
          <w:color w:val="000000" w:themeColor="text1"/>
          <w:sz w:val="21"/>
          <w:szCs w:val="21"/>
        </w:rPr>
        <w:t>管理，提高资金使用效益，根据党中央、国务院关于深入推进高等学校哲学社会科学繁荣发展的有关精神、《中共中央办公厅</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国务院办公厅</w:t>
      </w:r>
      <w:hyperlink r:id="rId5" w:tgtFrame="_blank" w:history="1">
        <w:r w:rsidRPr="00A54AE1">
          <w:rPr>
            <w:rStyle w:val="a5"/>
            <w:rFonts w:ascii="Arial" w:hAnsi="Arial" w:cs="Arial"/>
            <w:color w:val="000000" w:themeColor="text1"/>
            <w:sz w:val="21"/>
            <w:szCs w:val="21"/>
            <w:u w:val="none"/>
          </w:rPr>
          <w:t>关于进一步完善中央财政科研项目资金管理等政策的若干意见</w:t>
        </w:r>
      </w:hyperlink>
      <w:r w:rsidRPr="00A54AE1">
        <w:rPr>
          <w:rFonts w:ascii="Arial" w:hAnsi="Arial" w:cs="Arial"/>
          <w:color w:val="000000" w:themeColor="text1"/>
          <w:sz w:val="21"/>
          <w:szCs w:val="21"/>
        </w:rPr>
        <w:t>》以及国家财政财务管理有关法律法规，制定本办法。</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繁荣计划专项资金由中央财政安排，是用于支持</w:t>
      </w:r>
      <w:r w:rsidRPr="00A54AE1">
        <w:rPr>
          <w:rFonts w:ascii="Arial" w:hAnsi="Arial" w:cs="Arial"/>
          <w:color w:val="000000" w:themeColor="text1"/>
          <w:sz w:val="21"/>
          <w:szCs w:val="21"/>
        </w:rPr>
        <w:t>"</w:t>
      </w:r>
      <w:r w:rsidRPr="00A54AE1">
        <w:rPr>
          <w:rFonts w:ascii="Arial" w:hAnsi="Arial" w:cs="Arial"/>
          <w:color w:val="000000" w:themeColor="text1"/>
          <w:sz w:val="21"/>
          <w:szCs w:val="21"/>
        </w:rPr>
        <w:t>高等学校哲学社会科学繁荣计划</w:t>
      </w:r>
      <w:r w:rsidRPr="00A54AE1">
        <w:rPr>
          <w:rFonts w:ascii="Arial" w:hAnsi="Arial" w:cs="Arial"/>
          <w:color w:val="000000" w:themeColor="text1"/>
          <w:sz w:val="21"/>
          <w:szCs w:val="21"/>
        </w:rPr>
        <w:t>"(</w:t>
      </w:r>
      <w:r w:rsidRPr="00A54AE1">
        <w:rPr>
          <w:rFonts w:ascii="Arial" w:hAnsi="Arial" w:cs="Arial"/>
          <w:color w:val="000000" w:themeColor="text1"/>
          <w:sz w:val="21"/>
          <w:szCs w:val="21"/>
        </w:rPr>
        <w:t>以下简称繁荣计划</w:t>
      </w:r>
      <w:r w:rsidRPr="00A54AE1">
        <w:rPr>
          <w:rFonts w:ascii="Arial" w:hAnsi="Arial" w:cs="Arial"/>
          <w:color w:val="000000" w:themeColor="text1"/>
          <w:sz w:val="21"/>
          <w:szCs w:val="21"/>
        </w:rPr>
        <w:t>)</w:t>
      </w:r>
      <w:r w:rsidRPr="00A54AE1">
        <w:rPr>
          <w:rFonts w:ascii="Arial" w:hAnsi="Arial" w:cs="Arial"/>
          <w:color w:val="000000" w:themeColor="text1"/>
          <w:sz w:val="21"/>
          <w:szCs w:val="21"/>
        </w:rPr>
        <w:t>社会科学研究、学科发展、人才培养和队伍建设的专项资金。</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第三条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繁荣计划专项资金以促进出成果、出人才为目标，坚持以人为本、遵循规律、</w:t>
      </w:r>
      <w:r w:rsidRPr="00A54AE1">
        <w:rPr>
          <w:rFonts w:ascii="Arial" w:hAnsi="Arial" w:cs="Arial"/>
          <w:color w:val="000000" w:themeColor="text1"/>
          <w:sz w:val="21"/>
          <w:szCs w:val="21"/>
        </w:rPr>
        <w:t>"</w:t>
      </w:r>
      <w:r w:rsidRPr="00A54AE1">
        <w:rPr>
          <w:rFonts w:ascii="Arial" w:hAnsi="Arial" w:cs="Arial"/>
          <w:color w:val="000000" w:themeColor="text1"/>
          <w:sz w:val="21"/>
          <w:szCs w:val="21"/>
        </w:rPr>
        <w:t>放管服</w:t>
      </w:r>
      <w:r w:rsidRPr="00A54AE1">
        <w:rPr>
          <w:rFonts w:ascii="Arial" w:hAnsi="Arial" w:cs="Arial"/>
          <w:color w:val="000000" w:themeColor="text1"/>
          <w:sz w:val="21"/>
          <w:szCs w:val="21"/>
        </w:rPr>
        <w:t>"</w:t>
      </w:r>
      <w:r w:rsidRPr="00A54AE1">
        <w:rPr>
          <w:rFonts w:ascii="Arial" w:hAnsi="Arial" w:cs="Arial"/>
          <w:color w:val="000000" w:themeColor="text1"/>
          <w:sz w:val="21"/>
          <w:szCs w:val="21"/>
        </w:rPr>
        <w:t>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第四条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财政部、教育部负责制定繁荣计划专项资金管理制度，研究制定预算安排的总体方案。教育部负责编制繁荣计划专项资金年度预算、组织实施和管理监督工作，建立健全项目绩效考评机制。</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第五条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项目依托学校是繁荣计划项目实施和资金管理使用的责任主体，应当制定和完善本单位项目和资金管理办法，按要求具体负责项目组织、实施、评价等全过程管理</w:t>
      </w:r>
      <w:r w:rsidRPr="00A54AE1">
        <w:rPr>
          <w:rFonts w:ascii="Arial" w:hAnsi="Arial" w:cs="Arial"/>
          <w:color w:val="000000" w:themeColor="text1"/>
          <w:sz w:val="21"/>
          <w:szCs w:val="21"/>
        </w:rPr>
        <w:t>;</w:t>
      </w:r>
      <w:r w:rsidRPr="00A54AE1">
        <w:rPr>
          <w:rFonts w:ascii="Arial" w:hAnsi="Arial" w:cs="Arial"/>
          <w:color w:val="000000" w:themeColor="text1"/>
          <w:sz w:val="21"/>
          <w:szCs w:val="21"/>
        </w:rPr>
        <w:t>将项目资金纳入学校预算，指导和审核项目预算编制，承担项目资金的财务管理和会计核算，监督项目资金使用，审核项目决算。</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项目依托学校的财务和科研管理等相关部门，要根据学科特点和实际需要</w:t>
      </w:r>
      <w:r w:rsidRPr="00A54AE1">
        <w:rPr>
          <w:rFonts w:ascii="Arial" w:hAnsi="Arial" w:cs="Arial"/>
          <w:color w:val="000000" w:themeColor="text1"/>
          <w:sz w:val="21"/>
          <w:szCs w:val="21"/>
        </w:rPr>
        <w:t>,</w:t>
      </w:r>
      <w:r w:rsidRPr="00A54AE1">
        <w:rPr>
          <w:rFonts w:ascii="Arial" w:hAnsi="Arial" w:cs="Arial"/>
          <w:color w:val="000000" w:themeColor="text1"/>
          <w:sz w:val="21"/>
          <w:szCs w:val="21"/>
        </w:rPr>
        <w:t>加强对项目预算执行和资金使用的指导</w:t>
      </w:r>
      <w:r w:rsidRPr="00A54AE1">
        <w:rPr>
          <w:rFonts w:ascii="Arial" w:hAnsi="Arial" w:cs="Arial"/>
          <w:color w:val="000000" w:themeColor="text1"/>
          <w:sz w:val="21"/>
          <w:szCs w:val="21"/>
        </w:rPr>
        <w:t>;</w:t>
      </w:r>
      <w:r w:rsidRPr="00A54AE1">
        <w:rPr>
          <w:rFonts w:ascii="Arial" w:hAnsi="Arial" w:cs="Arial"/>
          <w:color w:val="000000" w:themeColor="text1"/>
          <w:sz w:val="21"/>
          <w:szCs w:val="21"/>
        </w:rPr>
        <w:t>注重科学管理、改进服务，为项目实施提供条件保障。</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第六条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项目负责人是项目管理和资金使用的直接责任人，应当按照本办法规定，科学编制项目预算和决算，合理合规使用资金。</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项目负责人应当严格遵守国家预算和财务管理规定，对资金使用和项目实施的合规性、合理性、真实性和相关性负责，并承担相应的经济与法律责任。</w:t>
      </w: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t>第二章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支出范围</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第七条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繁荣计划专项资金分为研究项目资金、非研究项目资金和管理资金。</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lastRenderedPageBreak/>
        <w:t>第八条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本办法第七条所称研究项目是指围绕繁荣计划建设任务设立的各类高校哲学社会科学研究项目的总称。研究项目资金包括在项目研究过程中发生的直接费用和间接费用。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第九条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直接费用包括图书资料费、数据采集费、会议费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差旅费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国际合作与交流费、设备费、专家咨询费、劳务费、印刷费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宣传费等。其中</w:t>
      </w:r>
      <w:r w:rsidRPr="00A54AE1">
        <w:rPr>
          <w:rFonts w:ascii="Arial" w:hAnsi="Arial" w:cs="Arial"/>
          <w:color w:val="000000" w:themeColor="text1"/>
          <w:sz w:val="21"/>
          <w:szCs w:val="21"/>
        </w:rPr>
        <w:t>:</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图书资料费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指在项目研究过程中购买必要的图书</w:t>
      </w:r>
      <w:r w:rsidRPr="00A54AE1">
        <w:rPr>
          <w:rFonts w:ascii="Arial" w:hAnsi="Arial" w:cs="Arial"/>
          <w:color w:val="000000" w:themeColor="text1"/>
          <w:sz w:val="21"/>
          <w:szCs w:val="21"/>
        </w:rPr>
        <w:t>(</w:t>
      </w:r>
      <w:r w:rsidRPr="00A54AE1">
        <w:rPr>
          <w:rFonts w:ascii="Arial" w:hAnsi="Arial" w:cs="Arial"/>
          <w:color w:val="000000" w:themeColor="text1"/>
          <w:sz w:val="21"/>
          <w:szCs w:val="21"/>
        </w:rPr>
        <w:t>包括外文图书</w:t>
      </w:r>
      <w:r w:rsidRPr="00A54AE1">
        <w:rPr>
          <w:rFonts w:ascii="Arial" w:hAnsi="Arial" w:cs="Arial"/>
          <w:color w:val="000000" w:themeColor="text1"/>
          <w:sz w:val="21"/>
          <w:szCs w:val="21"/>
        </w:rPr>
        <w:t>)</w:t>
      </w:r>
      <w:r w:rsidRPr="00A54AE1">
        <w:rPr>
          <w:rFonts w:ascii="Arial" w:hAnsi="Arial" w:cs="Arial"/>
          <w:color w:val="000000" w:themeColor="text1"/>
          <w:sz w:val="21"/>
          <w:szCs w:val="21"/>
        </w:rPr>
        <w:t>、专业软件，资料收集、整理、录入、复印、翻拍、翻译，文献检索等费用。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数据采集费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指在项目研究过程中开展问卷调查、田野调查、数据购买、数据分析及相应技术服务购买等费用。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会议费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差旅费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国际合作与交流费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围绕项目研究组织开展学术研讨、咨询交流、考察调研等活动而发生的会议、交通、食宿费用，以及项目研究人员出国及赴港澳台地区、外国专家来华及港澳台地区专家来内地开展学术合作与交流的费用。其中，不超过直接费用</w:t>
      </w:r>
      <w:r w:rsidRPr="00A54AE1">
        <w:rPr>
          <w:rFonts w:ascii="Arial" w:hAnsi="Arial" w:cs="Arial"/>
          <w:color w:val="000000" w:themeColor="text1"/>
          <w:sz w:val="21"/>
          <w:szCs w:val="21"/>
        </w:rPr>
        <w:t>20%</w:t>
      </w:r>
      <w:r w:rsidRPr="00A54AE1">
        <w:rPr>
          <w:rFonts w:ascii="Arial" w:hAnsi="Arial" w:cs="Arial"/>
          <w:color w:val="000000" w:themeColor="text1"/>
          <w:sz w:val="21"/>
          <w:szCs w:val="21"/>
        </w:rPr>
        <w:t>的，不需要提供预算测算依据。</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设备费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指在项目研究过程中购置设备和设备耗材、升级维护现有设备以及租用外单位设备而发生的费用。应当严格控制设备购置，鼓励共享、租赁以及对现有设备进行升级改造。</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专家咨询费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指在项目研究过程中支付给临时聘请的咨询专家的费用。专家咨询费由项目负责人按照项目研究实际需要编制，支出标准按照国家有关规定执行。</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劳务费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印刷费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宣传费</w:t>
      </w:r>
      <w:r w:rsidRPr="00A54AE1">
        <w:rPr>
          <w:rFonts w:ascii="Arial" w:hAnsi="Arial" w:cs="Arial"/>
          <w:color w:val="000000" w:themeColor="text1"/>
          <w:sz w:val="21"/>
          <w:szCs w:val="21"/>
        </w:rPr>
        <w:t>:</w:t>
      </w:r>
      <w:r w:rsidRPr="00A54AE1">
        <w:rPr>
          <w:rFonts w:ascii="Arial" w:hAnsi="Arial" w:cs="Arial"/>
          <w:color w:val="000000" w:themeColor="text1"/>
          <w:sz w:val="21"/>
          <w:szCs w:val="21"/>
        </w:rPr>
        <w:t>指在项目研究过程中支付的打印、印刷和出版、成果推介等费用。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其他</w:t>
      </w:r>
      <w:r w:rsidRPr="00A54AE1">
        <w:rPr>
          <w:rFonts w:ascii="Arial" w:hAnsi="Arial" w:cs="Arial"/>
          <w:color w:val="000000" w:themeColor="text1"/>
          <w:sz w:val="21"/>
          <w:szCs w:val="21"/>
        </w:rPr>
        <w:t>:</w:t>
      </w:r>
      <w:r w:rsidRPr="00A54AE1">
        <w:rPr>
          <w:rFonts w:ascii="Arial" w:hAnsi="Arial" w:cs="Arial"/>
          <w:color w:val="000000" w:themeColor="text1"/>
          <w:sz w:val="21"/>
          <w:szCs w:val="21"/>
        </w:rPr>
        <w:t>指与项目研究直接相关的除上述费用之外的其他支出。其他支出应当在项目预算中单独列示，单独核定。</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间接费用一般按照不超过项目支出总额的一定比例核定。具体比例如下</w:t>
      </w:r>
      <w:r w:rsidRPr="00A54AE1">
        <w:rPr>
          <w:rFonts w:ascii="Arial" w:hAnsi="Arial" w:cs="Arial"/>
          <w:color w:val="000000" w:themeColor="text1"/>
          <w:sz w:val="21"/>
          <w:szCs w:val="21"/>
        </w:rPr>
        <w:t>:50</w:t>
      </w:r>
      <w:r w:rsidRPr="00A54AE1">
        <w:rPr>
          <w:rFonts w:ascii="Arial" w:hAnsi="Arial" w:cs="Arial"/>
          <w:color w:val="000000" w:themeColor="text1"/>
          <w:sz w:val="21"/>
          <w:szCs w:val="21"/>
        </w:rPr>
        <w:t>万元及以下部分为</w:t>
      </w:r>
      <w:r w:rsidRPr="00A54AE1">
        <w:rPr>
          <w:rFonts w:ascii="Arial" w:hAnsi="Arial" w:cs="Arial"/>
          <w:color w:val="000000" w:themeColor="text1"/>
          <w:sz w:val="21"/>
          <w:szCs w:val="21"/>
        </w:rPr>
        <w:t>30%;</w:t>
      </w:r>
      <w:r w:rsidRPr="00A54AE1">
        <w:rPr>
          <w:rFonts w:ascii="Arial" w:hAnsi="Arial" w:cs="Arial"/>
          <w:color w:val="000000" w:themeColor="text1"/>
          <w:sz w:val="21"/>
          <w:szCs w:val="21"/>
        </w:rPr>
        <w:t>超过</w:t>
      </w:r>
      <w:r w:rsidRPr="00A54AE1">
        <w:rPr>
          <w:rFonts w:ascii="Arial" w:hAnsi="Arial" w:cs="Arial"/>
          <w:color w:val="000000" w:themeColor="text1"/>
          <w:sz w:val="21"/>
          <w:szCs w:val="21"/>
        </w:rPr>
        <w:t>50</w:t>
      </w:r>
      <w:r w:rsidRPr="00A54AE1">
        <w:rPr>
          <w:rFonts w:ascii="Arial" w:hAnsi="Arial" w:cs="Arial"/>
          <w:color w:val="000000" w:themeColor="text1"/>
          <w:sz w:val="21"/>
          <w:szCs w:val="21"/>
        </w:rPr>
        <w:t>万元至</w:t>
      </w:r>
      <w:r w:rsidRPr="00A54AE1">
        <w:rPr>
          <w:rFonts w:ascii="Arial" w:hAnsi="Arial" w:cs="Arial"/>
          <w:color w:val="000000" w:themeColor="text1"/>
          <w:sz w:val="21"/>
          <w:szCs w:val="21"/>
        </w:rPr>
        <w:t>500</w:t>
      </w:r>
      <w:r w:rsidRPr="00A54AE1">
        <w:rPr>
          <w:rFonts w:ascii="Arial" w:hAnsi="Arial" w:cs="Arial"/>
          <w:color w:val="000000" w:themeColor="text1"/>
          <w:sz w:val="21"/>
          <w:szCs w:val="21"/>
        </w:rPr>
        <w:t>万元的部分为</w:t>
      </w:r>
      <w:r w:rsidRPr="00A54AE1">
        <w:rPr>
          <w:rFonts w:ascii="Arial" w:hAnsi="Arial" w:cs="Arial"/>
          <w:color w:val="000000" w:themeColor="text1"/>
          <w:sz w:val="21"/>
          <w:szCs w:val="21"/>
        </w:rPr>
        <w:t>20%;</w:t>
      </w:r>
      <w:r w:rsidRPr="00A54AE1">
        <w:rPr>
          <w:rFonts w:ascii="Arial" w:hAnsi="Arial" w:cs="Arial"/>
          <w:color w:val="000000" w:themeColor="text1"/>
          <w:sz w:val="21"/>
          <w:szCs w:val="21"/>
        </w:rPr>
        <w:t>超过</w:t>
      </w:r>
      <w:r w:rsidRPr="00A54AE1">
        <w:rPr>
          <w:rFonts w:ascii="Arial" w:hAnsi="Arial" w:cs="Arial"/>
          <w:color w:val="000000" w:themeColor="text1"/>
          <w:sz w:val="21"/>
          <w:szCs w:val="21"/>
        </w:rPr>
        <w:t>500</w:t>
      </w:r>
      <w:r w:rsidRPr="00A54AE1">
        <w:rPr>
          <w:rFonts w:ascii="Arial" w:hAnsi="Arial" w:cs="Arial"/>
          <w:color w:val="000000" w:themeColor="text1"/>
          <w:sz w:val="21"/>
          <w:szCs w:val="21"/>
        </w:rPr>
        <w:t>万元的部分为</w:t>
      </w:r>
      <w:r w:rsidRPr="00A54AE1">
        <w:rPr>
          <w:rFonts w:ascii="Arial" w:hAnsi="Arial" w:cs="Arial"/>
          <w:color w:val="000000" w:themeColor="text1"/>
          <w:sz w:val="21"/>
          <w:szCs w:val="21"/>
        </w:rPr>
        <w:t>13%</w:t>
      </w:r>
      <w:r w:rsidRPr="00A54AE1">
        <w:rPr>
          <w:rFonts w:ascii="Arial" w:hAnsi="Arial" w:cs="Arial"/>
          <w:color w:val="000000" w:themeColor="text1"/>
          <w:sz w:val="21"/>
          <w:szCs w:val="21"/>
        </w:rPr>
        <w:t>。严禁超额提取、变相提取和重复提取。</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lastRenderedPageBreak/>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第十一条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非研究项目资金指支撑高校哲学社会科学科研机构、团队以及智库运行、优秀成果奖励等繁荣计划建设项目的资金。</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非研究项目资金按照</w:t>
      </w:r>
      <w:r w:rsidRPr="00A54AE1">
        <w:rPr>
          <w:rFonts w:ascii="Arial" w:hAnsi="Arial" w:cs="Arial"/>
          <w:color w:val="000000" w:themeColor="text1"/>
          <w:sz w:val="21"/>
          <w:szCs w:val="21"/>
        </w:rPr>
        <w:t>"</w:t>
      </w:r>
      <w:r w:rsidRPr="00A54AE1">
        <w:rPr>
          <w:rFonts w:ascii="Arial" w:hAnsi="Arial" w:cs="Arial"/>
          <w:color w:val="000000" w:themeColor="text1"/>
          <w:sz w:val="21"/>
          <w:szCs w:val="21"/>
        </w:rPr>
        <w:t>绩效导向、稳定支持、协议管理、动态调整</w:t>
      </w:r>
      <w:r w:rsidRPr="00A54AE1">
        <w:rPr>
          <w:rFonts w:ascii="Arial" w:hAnsi="Arial" w:cs="Arial"/>
          <w:color w:val="000000" w:themeColor="text1"/>
          <w:sz w:val="21"/>
          <w:szCs w:val="21"/>
        </w:rPr>
        <w:t>"</w:t>
      </w:r>
      <w:r w:rsidRPr="00A54AE1">
        <w:rPr>
          <w:rFonts w:ascii="Arial" w:hAnsi="Arial" w:cs="Arial"/>
          <w:color w:val="000000" w:themeColor="text1"/>
          <w:sz w:val="21"/>
          <w:szCs w:val="21"/>
        </w:rPr>
        <w:t>的原则进行资助和管理，可以通过第三方评估将相关优秀的研究机构</w:t>
      </w:r>
      <w:r w:rsidRPr="00A54AE1">
        <w:rPr>
          <w:rFonts w:ascii="Arial" w:hAnsi="Arial" w:cs="Arial"/>
          <w:color w:val="000000" w:themeColor="text1"/>
          <w:sz w:val="21"/>
          <w:szCs w:val="21"/>
        </w:rPr>
        <w:t>(</w:t>
      </w:r>
      <w:r w:rsidRPr="00A54AE1">
        <w:rPr>
          <w:rFonts w:ascii="Arial" w:hAnsi="Arial" w:cs="Arial"/>
          <w:color w:val="000000" w:themeColor="text1"/>
          <w:sz w:val="21"/>
          <w:szCs w:val="21"/>
        </w:rPr>
        <w:t>或者智库、团队</w:t>
      </w:r>
      <w:r w:rsidRPr="00A54AE1">
        <w:rPr>
          <w:rFonts w:ascii="Arial" w:hAnsi="Arial" w:cs="Arial"/>
          <w:color w:val="000000" w:themeColor="text1"/>
          <w:sz w:val="21"/>
          <w:szCs w:val="21"/>
        </w:rPr>
        <w:t>)</w:t>
      </w:r>
      <w:r w:rsidRPr="00A54AE1">
        <w:rPr>
          <w:rFonts w:ascii="Arial" w:hAnsi="Arial" w:cs="Arial"/>
          <w:color w:val="000000" w:themeColor="text1"/>
          <w:sz w:val="21"/>
          <w:szCs w:val="21"/>
        </w:rPr>
        <w:t>纳入资助范围。</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在财政部、教育部核定的资金总额内，依托高校和相关研究机构</w:t>
      </w:r>
      <w:r w:rsidRPr="00A54AE1">
        <w:rPr>
          <w:rFonts w:ascii="Arial" w:hAnsi="Arial" w:cs="Arial"/>
          <w:color w:val="000000" w:themeColor="text1"/>
          <w:sz w:val="21"/>
          <w:szCs w:val="21"/>
        </w:rPr>
        <w:t>(</w:t>
      </w:r>
      <w:r w:rsidRPr="00A54AE1">
        <w:rPr>
          <w:rFonts w:ascii="Arial" w:hAnsi="Arial" w:cs="Arial"/>
          <w:color w:val="000000" w:themeColor="text1"/>
          <w:sz w:val="21"/>
          <w:szCs w:val="21"/>
        </w:rPr>
        <w:t>或者智库、团队</w:t>
      </w:r>
      <w:r w:rsidRPr="00A54AE1">
        <w:rPr>
          <w:rFonts w:ascii="Arial" w:hAnsi="Arial" w:cs="Arial"/>
          <w:color w:val="000000" w:themeColor="text1"/>
          <w:sz w:val="21"/>
          <w:szCs w:val="21"/>
        </w:rPr>
        <w:t>)</w:t>
      </w:r>
      <w:r w:rsidRPr="00A54AE1">
        <w:rPr>
          <w:rFonts w:ascii="Arial" w:hAnsi="Arial" w:cs="Arial"/>
          <w:color w:val="000000" w:themeColor="text1"/>
          <w:sz w:val="21"/>
          <w:szCs w:val="21"/>
        </w:rPr>
        <w:t>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教育部与依托学校、受资助研究机构</w:t>
      </w:r>
      <w:r w:rsidRPr="00A54AE1">
        <w:rPr>
          <w:rFonts w:ascii="Arial" w:hAnsi="Arial" w:cs="Arial"/>
          <w:color w:val="000000" w:themeColor="text1"/>
          <w:sz w:val="21"/>
          <w:szCs w:val="21"/>
        </w:rPr>
        <w:t>(</w:t>
      </w:r>
      <w:r w:rsidRPr="00A54AE1">
        <w:rPr>
          <w:rFonts w:ascii="Arial" w:hAnsi="Arial" w:cs="Arial"/>
          <w:color w:val="000000" w:themeColor="text1"/>
          <w:sz w:val="21"/>
          <w:szCs w:val="21"/>
        </w:rPr>
        <w:t>或者智库、团队</w:t>
      </w:r>
      <w:r w:rsidRPr="00A54AE1">
        <w:rPr>
          <w:rFonts w:ascii="Arial" w:hAnsi="Arial" w:cs="Arial"/>
          <w:color w:val="000000" w:themeColor="text1"/>
          <w:sz w:val="21"/>
          <w:szCs w:val="21"/>
        </w:rPr>
        <w:t>)</w:t>
      </w:r>
      <w:r w:rsidRPr="00A54AE1">
        <w:rPr>
          <w:rFonts w:ascii="Arial" w:hAnsi="Arial" w:cs="Arial"/>
          <w:color w:val="000000" w:themeColor="text1"/>
          <w:sz w:val="21"/>
          <w:szCs w:val="21"/>
        </w:rPr>
        <w:t>约定建设周期内的目标任务，委托第三方进行评价考核，根据实际绩效实行有差别的稳定支持，并采取优胜劣汰、动态调整的管理方式。</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财政部、教育部按规定对获得教育部科学研究优秀成果奖</w:t>
      </w:r>
      <w:r w:rsidRPr="00A54AE1">
        <w:rPr>
          <w:rFonts w:ascii="Arial" w:hAnsi="Arial" w:cs="Arial"/>
          <w:color w:val="000000" w:themeColor="text1"/>
          <w:sz w:val="21"/>
          <w:szCs w:val="21"/>
        </w:rPr>
        <w:t>(</w:t>
      </w:r>
      <w:r w:rsidRPr="00A54AE1">
        <w:rPr>
          <w:rFonts w:ascii="Arial" w:hAnsi="Arial" w:cs="Arial"/>
          <w:color w:val="000000" w:themeColor="text1"/>
          <w:sz w:val="21"/>
          <w:szCs w:val="21"/>
        </w:rPr>
        <w:t>人文社会科学</w:t>
      </w:r>
      <w:r w:rsidRPr="00A54AE1">
        <w:rPr>
          <w:rFonts w:ascii="Arial" w:hAnsi="Arial" w:cs="Arial"/>
          <w:color w:val="000000" w:themeColor="text1"/>
          <w:sz w:val="21"/>
          <w:szCs w:val="21"/>
        </w:rPr>
        <w:t>)</w:t>
      </w:r>
      <w:r w:rsidRPr="00A54AE1">
        <w:rPr>
          <w:rFonts w:ascii="Arial" w:hAnsi="Arial" w:cs="Arial"/>
          <w:color w:val="000000" w:themeColor="text1"/>
          <w:sz w:val="21"/>
          <w:szCs w:val="21"/>
        </w:rPr>
        <w:t>的成果进行奖励，对被采用和向有关部门报送的有价值、高水平的咨政成果实行后期资助和事后奖励。学校不得对奖励资金提取间接费用。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第十二条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管理资金是指教育部在实施繁荣计划过程中组织、协调、评审、鉴定等管理性工作所需费用。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在繁荣计划实施过程中，应按照</w:t>
      </w:r>
      <w:r w:rsidRPr="00A54AE1">
        <w:rPr>
          <w:rFonts w:ascii="Arial" w:hAnsi="Arial" w:cs="Arial"/>
          <w:color w:val="000000" w:themeColor="text1"/>
          <w:sz w:val="21"/>
          <w:szCs w:val="21"/>
        </w:rPr>
        <w:t>"</w:t>
      </w:r>
      <w:r w:rsidRPr="00A54AE1">
        <w:rPr>
          <w:rFonts w:ascii="Arial" w:hAnsi="Arial" w:cs="Arial"/>
          <w:color w:val="000000" w:themeColor="text1"/>
          <w:sz w:val="21"/>
          <w:szCs w:val="21"/>
        </w:rPr>
        <w:t>管、办、评</w:t>
      </w:r>
      <w:r w:rsidRPr="00A54AE1">
        <w:rPr>
          <w:rFonts w:ascii="Arial" w:hAnsi="Arial" w:cs="Arial"/>
          <w:color w:val="000000" w:themeColor="text1"/>
          <w:sz w:val="21"/>
          <w:szCs w:val="21"/>
        </w:rPr>
        <w:t>"</w:t>
      </w:r>
      <w:r w:rsidRPr="00A54AE1">
        <w:rPr>
          <w:rFonts w:ascii="Arial" w:hAnsi="Arial" w:cs="Arial"/>
          <w:color w:val="000000" w:themeColor="text1"/>
          <w:sz w:val="21"/>
          <w:szCs w:val="21"/>
        </w:rPr>
        <w:t>分离原则，推进政府购买服务，规范向社会力量购买服务的程序和方式，切实转变政府职能。</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第十三条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繁荣计划专项资金项目中的相关开支标准，按照国家以及项目依托学校的有关规定执行。</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第十四条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A54AE1" w:rsidRDefault="00A54AE1" w:rsidP="00A54AE1">
      <w:pPr>
        <w:pStyle w:val="a3"/>
        <w:shd w:val="clear" w:color="auto" w:fill="FFFFFF"/>
        <w:spacing w:before="0" w:beforeAutospacing="0" w:after="225" w:afterAutospacing="0" w:line="360" w:lineRule="atLeast"/>
        <w:ind w:firstLine="480"/>
        <w:rPr>
          <w:rFonts w:ascii="Arial" w:hAnsi="Arial" w:cs="Arial" w:hint="eastAsia"/>
          <w:color w:val="000000" w:themeColor="text1"/>
          <w:sz w:val="21"/>
          <w:szCs w:val="21"/>
        </w:rPr>
      </w:pPr>
      <w:r w:rsidRPr="00A54AE1">
        <w:rPr>
          <w:rFonts w:ascii="Arial" w:hAnsi="Arial" w:cs="Arial"/>
          <w:color w:val="000000" w:themeColor="text1"/>
          <w:sz w:val="21"/>
          <w:szCs w:val="21"/>
        </w:rPr>
        <w:t>项目负责人应当按照批准的项目预算，在依托学校财务、科研管理部门的指导下使用项目资金</w:t>
      </w:r>
      <w:r w:rsidRPr="00A54AE1">
        <w:rPr>
          <w:rFonts w:ascii="Arial" w:hAnsi="Arial" w:cs="Arial"/>
          <w:color w:val="000000" w:themeColor="text1"/>
          <w:sz w:val="21"/>
          <w:szCs w:val="21"/>
        </w:rPr>
        <w:t>;</w:t>
      </w:r>
      <w:r w:rsidRPr="00A54AE1">
        <w:rPr>
          <w:rFonts w:ascii="Arial" w:hAnsi="Arial" w:cs="Arial"/>
          <w:color w:val="000000" w:themeColor="text1"/>
          <w:sz w:val="21"/>
          <w:szCs w:val="21"/>
        </w:rPr>
        <w:t>依托学校和个人不得以任何理由和方式截留、挤占和挪用。繁荣计划专项资金项目中涉及仪器设备采购的，按国家关于政府采购的有关规定执行。</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lastRenderedPageBreak/>
        <w:t>第三章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预算管理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第十五条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项目资金需要转拨协作单位的，应在预算中单独列示，并对外协单位资质、承担的研究任务、外拨资金额度等进行详细说明。项目负责人应对合作</w:t>
      </w:r>
      <w:r w:rsidRPr="00A54AE1">
        <w:rPr>
          <w:rFonts w:ascii="Arial" w:hAnsi="Arial" w:cs="Arial"/>
          <w:color w:val="000000" w:themeColor="text1"/>
          <w:sz w:val="21"/>
          <w:szCs w:val="21"/>
        </w:rPr>
        <w:t>(</w:t>
      </w:r>
      <w:r w:rsidRPr="00A54AE1">
        <w:rPr>
          <w:rFonts w:ascii="Arial" w:hAnsi="Arial" w:cs="Arial"/>
          <w:color w:val="000000" w:themeColor="text1"/>
          <w:sz w:val="21"/>
          <w:szCs w:val="21"/>
        </w:rPr>
        <w:t>外协</w:t>
      </w:r>
      <w:r w:rsidRPr="00A54AE1">
        <w:rPr>
          <w:rFonts w:ascii="Arial" w:hAnsi="Arial" w:cs="Arial"/>
          <w:color w:val="000000" w:themeColor="text1"/>
          <w:sz w:val="21"/>
          <w:szCs w:val="21"/>
        </w:rPr>
        <w:t>)</w:t>
      </w:r>
      <w:r w:rsidRPr="00A54AE1">
        <w:rPr>
          <w:rFonts w:ascii="Arial" w:hAnsi="Arial" w:cs="Arial"/>
          <w:color w:val="000000" w:themeColor="text1"/>
          <w:sz w:val="21"/>
          <w:szCs w:val="21"/>
        </w:rPr>
        <w:t>业务的真实性、相关性负责。间接费用外拨金额，由项目依托学校和合作研究单位协商确定。</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第十六条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教育部根据繁荣计划建设目标和建设内容，重点对项目预算的目标相关性、政策相符性、经济合理性进行评审。应建立评审专家库，建立和完善评审专家的遴选、回避、信用和问责制度。</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第十七条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教育部根据部门预算编制要求，在部门预算</w:t>
      </w:r>
      <w:r w:rsidRPr="00A54AE1">
        <w:rPr>
          <w:rFonts w:ascii="Arial" w:hAnsi="Arial" w:cs="Arial"/>
          <w:color w:val="000000" w:themeColor="text1"/>
          <w:sz w:val="21"/>
          <w:szCs w:val="21"/>
        </w:rPr>
        <w:t>"</w:t>
      </w:r>
      <w:r w:rsidRPr="00A54AE1">
        <w:rPr>
          <w:rFonts w:ascii="Arial" w:hAnsi="Arial" w:cs="Arial"/>
          <w:color w:val="000000" w:themeColor="text1"/>
          <w:sz w:val="21"/>
          <w:szCs w:val="21"/>
        </w:rPr>
        <w:t>一上</w:t>
      </w:r>
      <w:r w:rsidRPr="00A54AE1">
        <w:rPr>
          <w:rFonts w:ascii="Arial" w:hAnsi="Arial" w:cs="Arial"/>
          <w:color w:val="000000" w:themeColor="text1"/>
          <w:sz w:val="21"/>
          <w:szCs w:val="21"/>
        </w:rPr>
        <w:t>"</w:t>
      </w:r>
      <w:r w:rsidRPr="00A54AE1">
        <w:rPr>
          <w:rFonts w:ascii="Arial" w:hAnsi="Arial" w:cs="Arial"/>
          <w:color w:val="000000" w:themeColor="text1"/>
          <w:sz w:val="21"/>
          <w:szCs w:val="21"/>
        </w:rPr>
        <w:t>时，将繁荣计划专项资金三年支出规划和年度预算建议数报送财政部，财政部按部门预算程序审核后批复年度预算。</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第十八条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教育部根据繁荣计划项目类别和完成期限向项目依托学校下达项目预算。其中，研究项目预算一次核定、按年度分期分批下达。未通过年度或中期检查的，停止下达下一年度后续项目预算</w:t>
      </w:r>
      <w:r w:rsidRPr="00A54AE1">
        <w:rPr>
          <w:rFonts w:ascii="Arial" w:hAnsi="Arial" w:cs="Arial"/>
          <w:color w:val="000000" w:themeColor="text1"/>
          <w:sz w:val="21"/>
          <w:szCs w:val="21"/>
        </w:rPr>
        <w:t>;</w:t>
      </w:r>
      <w:r w:rsidRPr="00A54AE1">
        <w:rPr>
          <w:rFonts w:ascii="Arial" w:hAnsi="Arial" w:cs="Arial"/>
          <w:color w:val="000000" w:themeColor="text1"/>
          <w:sz w:val="21"/>
          <w:szCs w:val="21"/>
        </w:rPr>
        <w:t>非研究项目资金采取一次核定、按年度一次性下达。</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繁荣计划专项资金支付按照国库集中支付制度有关规定执行。</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第十九条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项目依托学校应当将资金纳入学校财务部门统一管理。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学校应当指导项目负责人科学合理编制预算，规范预算调剂程序，完善项目资金支出、报销审核监督制度，加强对专家咨询费、劳务费、外拨资金、间接费用、结转结余资金等的审核和管理。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学校应当强化对合作项目真实性、可行性和合规性的审核，严格防止虚假资源匹配和虚假合作，坚决杜绝假借合作名义骗取资金。</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项目预算一经批复，必须严格执行。确需调剂的，应当按规定报批。</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lastRenderedPageBreak/>
        <w:t>由于研究内容或者研究计划作出重大调整等原因，确需增加或减少预算总额的，由依托学校审核同意后报教育部审批。</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在项目预算总额不变的情况下，支出科目和金额确需调剂的，由项目负责人根据实际需要提出调剂申请，报依托学校审批。会议费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差旅费</w:t>
      </w:r>
      <w:r w:rsidRPr="00A54AE1">
        <w:rPr>
          <w:rFonts w:ascii="Arial" w:hAnsi="Arial" w:cs="Arial"/>
          <w:color w:val="000000" w:themeColor="text1"/>
          <w:sz w:val="21"/>
          <w:szCs w:val="21"/>
        </w:rPr>
        <w:t>/</w:t>
      </w:r>
      <w:r w:rsidRPr="00A54AE1">
        <w:rPr>
          <w:rFonts w:ascii="Arial" w:hAnsi="Arial" w:cs="Arial"/>
          <w:color w:val="000000" w:themeColor="text1"/>
          <w:sz w:val="21"/>
          <w:szCs w:val="21"/>
        </w:rPr>
        <w:t>国际合作与交流费、劳务费、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第二十一条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项目依托学校应当严格执行国家有关资金支出管理制度。对应当实行</w:t>
      </w:r>
      <w:r w:rsidRPr="00A54AE1">
        <w:rPr>
          <w:rFonts w:ascii="Arial" w:hAnsi="Arial" w:cs="Arial"/>
          <w:color w:val="000000" w:themeColor="text1"/>
          <w:sz w:val="21"/>
          <w:szCs w:val="21"/>
        </w:rPr>
        <w:t>"</w:t>
      </w:r>
      <w:r w:rsidRPr="00A54AE1">
        <w:rPr>
          <w:rFonts w:ascii="Arial" w:hAnsi="Arial" w:cs="Arial"/>
          <w:color w:val="000000" w:themeColor="text1"/>
          <w:sz w:val="21"/>
          <w:szCs w:val="21"/>
        </w:rPr>
        <w:t>公务卡</w:t>
      </w:r>
      <w:r w:rsidRPr="00A54AE1">
        <w:rPr>
          <w:rFonts w:ascii="Arial" w:hAnsi="Arial" w:cs="Arial"/>
          <w:color w:val="000000" w:themeColor="text1"/>
          <w:sz w:val="21"/>
          <w:szCs w:val="21"/>
        </w:rPr>
        <w:t>"</w:t>
      </w:r>
      <w:r w:rsidRPr="00A54AE1">
        <w:rPr>
          <w:rFonts w:ascii="Arial" w:hAnsi="Arial" w:cs="Arial"/>
          <w:color w:val="000000" w:themeColor="text1"/>
          <w:sz w:val="21"/>
          <w:szCs w:val="21"/>
        </w:rPr>
        <w:t>结算的支出，按照公务卡结算的有关规定执行。专家咨询费、劳务费等支出，原则上应当通过银行转账方式结算，从严控制现金支出事项。</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对于野外考察、数据采集等科研活动中无法取得发票或财政性票据的支出，在确保真实性的前提下，依托学校可按实际发生额予以报销。</w:t>
      </w: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t>第四章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决算管理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第二十二条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项目负责人应当按照规定编制项目资金年度决算。项目依托学校应将繁荣计划专项资金收支情况纳入单位年度决算统一编报。</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第二十三条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第二十四条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对于研究项目资金</w:t>
      </w:r>
      <w:r w:rsidRPr="00A54AE1">
        <w:rPr>
          <w:rFonts w:ascii="Arial" w:hAnsi="Arial" w:cs="Arial"/>
          <w:color w:val="000000" w:themeColor="text1"/>
          <w:sz w:val="21"/>
          <w:szCs w:val="21"/>
        </w:rPr>
        <w:t>,</w:t>
      </w:r>
      <w:r w:rsidRPr="00A54AE1">
        <w:rPr>
          <w:rFonts w:ascii="Arial" w:hAnsi="Arial" w:cs="Arial"/>
          <w:color w:val="000000" w:themeColor="text1"/>
          <w:sz w:val="21"/>
          <w:szCs w:val="21"/>
        </w:rPr>
        <w:t>项目在研期间，年度结转资金可以在下一年度继续使用。项目完成目标任务并通过验收后，结余资金可以用于项目最终成果出版及后续研究的直接支出，或由项目依托学校统筹安排用于科研活动的直接支出。若项目审核验收</w:t>
      </w:r>
      <w:r w:rsidRPr="00A54AE1">
        <w:rPr>
          <w:rFonts w:ascii="Arial" w:hAnsi="Arial" w:cs="Arial"/>
          <w:color w:val="000000" w:themeColor="text1"/>
          <w:sz w:val="21"/>
          <w:szCs w:val="21"/>
        </w:rPr>
        <w:t>2</w:t>
      </w:r>
      <w:r w:rsidRPr="00A54AE1">
        <w:rPr>
          <w:rFonts w:ascii="Arial" w:hAnsi="Arial" w:cs="Arial"/>
          <w:color w:val="000000" w:themeColor="text1"/>
          <w:sz w:val="21"/>
          <w:szCs w:val="21"/>
        </w:rPr>
        <w:t>年后结余资金仍有剩余的，应当按原渠道退回教育部。对于非研究项目资金和管理资金</w:t>
      </w:r>
      <w:r w:rsidRPr="00A54AE1">
        <w:rPr>
          <w:rFonts w:ascii="Arial" w:hAnsi="Arial" w:cs="Arial"/>
          <w:color w:val="000000" w:themeColor="text1"/>
          <w:sz w:val="21"/>
          <w:szCs w:val="21"/>
        </w:rPr>
        <w:t>,</w:t>
      </w:r>
      <w:r w:rsidRPr="00A54AE1">
        <w:rPr>
          <w:rFonts w:ascii="Arial" w:hAnsi="Arial" w:cs="Arial"/>
          <w:color w:val="000000" w:themeColor="text1"/>
          <w:sz w:val="21"/>
          <w:szCs w:val="21"/>
        </w:rPr>
        <w:t>按照财政部关于结转结余资金管理有关规定执行。</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第二十五条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项目因故终止或被撤销，依托学校应当及时清理账目与资产，编制财务决算及资产清单，审核汇总后报送教育部。已拨资金或其剩余部分按原渠道退回教育部。</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第二十六条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凡使用繁荣计划专项资金形成的固定资产、无形资产等均属国有资产，应当按照国有资产管理的有关规定执行。</w:t>
      </w: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t>第五章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监督检查与绩效管理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第二十七条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项目依托学校应当自觉接受审计、纪检监察等有关部门对繁荣计划建设项目预算执行、资金使用效益和财务管理等情况的监督检查。对于截留、挤占、挪用繁荣</w:t>
      </w:r>
      <w:r w:rsidRPr="00A54AE1">
        <w:rPr>
          <w:rFonts w:ascii="Arial" w:hAnsi="Arial" w:cs="Arial"/>
          <w:color w:val="000000" w:themeColor="text1"/>
          <w:sz w:val="21"/>
          <w:szCs w:val="21"/>
        </w:rPr>
        <w:lastRenderedPageBreak/>
        <w:t>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第二十八条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项目依托学校应当制定内部管理办法，明确审批程序和管理要求，落实项目预算调剂、间接费用统筹使用、劳务费分配管理、结转结余资金使用等自主权。</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项目依托学校应当完善内部风险防控机制，加强预算审核把关，规范财务支出行为，强化资金使用绩效评价，保障资金使用安全规范有效。</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项目依托学校应当实行内部公开制度，主动公开项目预算、预算调剂、决算、外拨资金、劳务费发放、间接费用、结余资金使用和研究成果等情况。</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第二十九条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第三十条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违反本办法规定的，依照《</w:t>
      </w:r>
      <w:hyperlink r:id="rId6" w:tgtFrame="_blank" w:history="1">
        <w:r w:rsidRPr="00A54AE1">
          <w:rPr>
            <w:rStyle w:val="a5"/>
            <w:rFonts w:ascii="Arial" w:hAnsi="Arial" w:cs="Arial"/>
            <w:color w:val="000000" w:themeColor="text1"/>
            <w:sz w:val="21"/>
            <w:szCs w:val="21"/>
            <w:u w:val="none"/>
          </w:rPr>
          <w:t>中华人民共和国预算法</w:t>
        </w:r>
      </w:hyperlink>
      <w:r w:rsidRPr="00A54AE1">
        <w:rPr>
          <w:rFonts w:ascii="Arial" w:hAnsi="Arial" w:cs="Arial"/>
          <w:color w:val="000000" w:themeColor="text1"/>
          <w:sz w:val="21"/>
          <w:szCs w:val="21"/>
        </w:rPr>
        <w:t>》、《</w:t>
      </w:r>
      <w:hyperlink r:id="rId7" w:tgtFrame="_blank" w:history="1">
        <w:r w:rsidRPr="00A54AE1">
          <w:rPr>
            <w:rStyle w:val="a5"/>
            <w:rFonts w:ascii="Arial" w:hAnsi="Arial" w:cs="Arial"/>
            <w:color w:val="000000" w:themeColor="text1"/>
            <w:sz w:val="21"/>
            <w:szCs w:val="21"/>
            <w:u w:val="none"/>
          </w:rPr>
          <w:t>财政违法行为处罚处分条例</w:t>
        </w:r>
      </w:hyperlink>
      <w:r w:rsidRPr="00A54AE1">
        <w:rPr>
          <w:rFonts w:ascii="Arial" w:hAnsi="Arial" w:cs="Arial"/>
          <w:color w:val="000000" w:themeColor="text1"/>
          <w:sz w:val="21"/>
          <w:szCs w:val="21"/>
        </w:rPr>
        <w:t>》等国家有关法律制度规定处理。</w:t>
      </w:r>
    </w:p>
    <w:p w:rsidR="00A54AE1" w:rsidRPr="00A54AE1" w:rsidRDefault="00A54AE1" w:rsidP="00A54AE1">
      <w:pPr>
        <w:pStyle w:val="a3"/>
        <w:shd w:val="clear" w:color="auto" w:fill="FFFFFF"/>
        <w:spacing w:before="0" w:beforeAutospacing="0" w:after="225" w:afterAutospacing="0" w:line="360" w:lineRule="atLeast"/>
        <w:ind w:firstLine="480"/>
        <w:jc w:val="center"/>
        <w:rPr>
          <w:rFonts w:ascii="Arial" w:hAnsi="Arial" w:cs="Arial"/>
          <w:color w:val="000000" w:themeColor="text1"/>
          <w:sz w:val="21"/>
          <w:szCs w:val="21"/>
        </w:rPr>
      </w:pPr>
      <w:r w:rsidRPr="00A54AE1">
        <w:rPr>
          <w:rStyle w:val="a4"/>
          <w:rFonts w:ascii="Arial" w:hAnsi="Arial" w:cs="Arial"/>
          <w:color w:val="000000" w:themeColor="text1"/>
          <w:sz w:val="21"/>
          <w:szCs w:val="21"/>
        </w:rPr>
        <w:t>第六章</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附</w:t>
      </w:r>
      <w:r w:rsidRPr="00A54AE1">
        <w:rPr>
          <w:rStyle w:val="a4"/>
          <w:rFonts w:ascii="Arial" w:hAnsi="Arial" w:cs="Arial"/>
          <w:color w:val="000000" w:themeColor="text1"/>
          <w:sz w:val="21"/>
          <w:szCs w:val="21"/>
        </w:rPr>
        <w:t xml:space="preserve"> </w:t>
      </w:r>
      <w:r w:rsidRPr="00A54AE1">
        <w:rPr>
          <w:rStyle w:val="a4"/>
          <w:rFonts w:ascii="Arial" w:hAnsi="Arial" w:cs="Arial"/>
          <w:color w:val="000000" w:themeColor="text1"/>
          <w:sz w:val="21"/>
          <w:szCs w:val="21"/>
        </w:rPr>
        <w:t>则</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第三十一条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本办法由财政部、教育部负责解释。</w:t>
      </w:r>
    </w:p>
    <w:p w:rsidR="00A54AE1" w:rsidRPr="00A54AE1" w:rsidRDefault="00A54AE1" w:rsidP="00A54AE1">
      <w:pPr>
        <w:pStyle w:val="a3"/>
        <w:shd w:val="clear" w:color="auto" w:fill="FFFFFF"/>
        <w:spacing w:before="0" w:beforeAutospacing="0" w:after="225" w:afterAutospacing="0" w:line="360" w:lineRule="atLeast"/>
        <w:ind w:firstLine="480"/>
        <w:rPr>
          <w:rFonts w:ascii="Arial" w:hAnsi="Arial" w:cs="Arial"/>
          <w:color w:val="000000" w:themeColor="text1"/>
          <w:sz w:val="21"/>
          <w:szCs w:val="21"/>
        </w:rPr>
      </w:pPr>
      <w:r w:rsidRPr="00A54AE1">
        <w:rPr>
          <w:rFonts w:ascii="Arial" w:hAnsi="Arial" w:cs="Arial"/>
          <w:color w:val="000000" w:themeColor="text1"/>
          <w:sz w:val="21"/>
          <w:szCs w:val="21"/>
        </w:rPr>
        <w:t>第三十二条</w:t>
      </w:r>
      <w:r w:rsidRPr="00A54AE1">
        <w:rPr>
          <w:rFonts w:ascii="Arial" w:hAnsi="Arial" w:cs="Arial"/>
          <w:color w:val="000000" w:themeColor="text1"/>
          <w:sz w:val="21"/>
          <w:szCs w:val="21"/>
        </w:rPr>
        <w:t xml:space="preserve"> </w:t>
      </w:r>
      <w:r w:rsidRPr="00A54AE1">
        <w:rPr>
          <w:rFonts w:ascii="Arial" w:hAnsi="Arial" w:cs="Arial"/>
          <w:color w:val="000000" w:themeColor="text1"/>
          <w:sz w:val="21"/>
          <w:szCs w:val="21"/>
        </w:rPr>
        <w:t>本办法自</w:t>
      </w:r>
      <w:r w:rsidRPr="00A54AE1">
        <w:rPr>
          <w:rFonts w:ascii="Arial" w:hAnsi="Arial" w:cs="Arial"/>
          <w:color w:val="000000" w:themeColor="text1"/>
          <w:sz w:val="21"/>
          <w:szCs w:val="21"/>
        </w:rPr>
        <w:t>2016</w:t>
      </w:r>
      <w:r w:rsidRPr="00A54AE1">
        <w:rPr>
          <w:rFonts w:ascii="Arial" w:hAnsi="Arial" w:cs="Arial"/>
          <w:color w:val="000000" w:themeColor="text1"/>
          <w:sz w:val="21"/>
          <w:szCs w:val="21"/>
        </w:rPr>
        <w:t>年</w:t>
      </w:r>
      <w:r w:rsidRPr="00A54AE1">
        <w:rPr>
          <w:rFonts w:ascii="Arial" w:hAnsi="Arial" w:cs="Arial"/>
          <w:color w:val="000000" w:themeColor="text1"/>
          <w:sz w:val="21"/>
          <w:szCs w:val="21"/>
        </w:rPr>
        <w:t>12</w:t>
      </w:r>
      <w:r w:rsidRPr="00A54AE1">
        <w:rPr>
          <w:rFonts w:ascii="Arial" w:hAnsi="Arial" w:cs="Arial"/>
          <w:color w:val="000000" w:themeColor="text1"/>
          <w:sz w:val="21"/>
          <w:szCs w:val="21"/>
        </w:rPr>
        <w:t>月</w:t>
      </w:r>
      <w:r w:rsidRPr="00A54AE1">
        <w:rPr>
          <w:rFonts w:ascii="Arial" w:hAnsi="Arial" w:cs="Arial"/>
          <w:color w:val="000000" w:themeColor="text1"/>
          <w:sz w:val="21"/>
          <w:szCs w:val="21"/>
        </w:rPr>
        <w:t>1</w:t>
      </w:r>
      <w:r w:rsidRPr="00A54AE1">
        <w:rPr>
          <w:rFonts w:ascii="Arial" w:hAnsi="Arial" w:cs="Arial"/>
          <w:color w:val="000000" w:themeColor="text1"/>
          <w:sz w:val="21"/>
          <w:szCs w:val="21"/>
        </w:rPr>
        <w:t>日起施行。</w:t>
      </w:r>
    </w:p>
    <w:p w:rsidR="004358AB" w:rsidRPr="00A54AE1" w:rsidRDefault="004358AB" w:rsidP="00D31D50">
      <w:pPr>
        <w:spacing w:line="220" w:lineRule="atLeast"/>
        <w:rPr>
          <w:color w:val="000000" w:themeColor="text1"/>
        </w:rPr>
      </w:pPr>
    </w:p>
    <w:sectPr w:rsidR="004358AB" w:rsidRPr="00A54AE1"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10412"/>
    <w:rsid w:val="00323B43"/>
    <w:rsid w:val="003D37D8"/>
    <w:rsid w:val="00426133"/>
    <w:rsid w:val="004358AB"/>
    <w:rsid w:val="008B7726"/>
    <w:rsid w:val="00A54AE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AE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54AE1"/>
    <w:rPr>
      <w:b/>
      <w:bCs/>
    </w:rPr>
  </w:style>
  <w:style w:type="character" w:styleId="a5">
    <w:name w:val="Hyperlink"/>
    <w:basedOn w:val="a0"/>
    <w:uiPriority w:val="99"/>
    <w:semiHidden/>
    <w:unhideWhenUsed/>
    <w:rsid w:val="00A54AE1"/>
    <w:rPr>
      <w:color w:val="0000FF"/>
      <w:u w:val="single"/>
    </w:rPr>
  </w:style>
</w:styles>
</file>

<file path=word/webSettings.xml><?xml version="1.0" encoding="utf-8"?>
<w:webSettings xmlns:r="http://schemas.openxmlformats.org/officeDocument/2006/relationships" xmlns:w="http://schemas.openxmlformats.org/wordprocessingml/2006/main">
  <w:divs>
    <w:div w:id="9272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4137656-433726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6708344-6922360.html" TargetMode="External"/><Relationship Id="rId5" Type="http://schemas.openxmlformats.org/officeDocument/2006/relationships/hyperlink" Target="https://baike.so.com/doc/24466029-25309170.html" TargetMode="External"/><Relationship Id="rId4" Type="http://schemas.openxmlformats.org/officeDocument/2006/relationships/hyperlink" Target="https://baike.so.com/doc/6198563-6411825.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2018-02-02T05:46:00Z</dcterms:modified>
</cp:coreProperties>
</file>