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华文中宋" w:hAnsi="华文中宋" w:eastAsia="华文中宋"/>
          <w:b/>
          <w:sz w:val="44"/>
          <w:szCs w:val="44"/>
        </w:rPr>
      </w:pPr>
      <w:r>
        <w:rPr>
          <w:rFonts w:hint="eastAsia" w:ascii="华文中宋" w:hAnsi="华文中宋" w:eastAsia="华文中宋"/>
          <w:b/>
          <w:sz w:val="44"/>
          <w:szCs w:val="44"/>
        </w:rPr>
        <w:t>教职工政治学习参考资料</w:t>
      </w:r>
    </w:p>
    <w:p>
      <w:pPr>
        <w:spacing w:line="400" w:lineRule="exact"/>
        <w:jc w:val="center"/>
        <w:rPr>
          <w:rFonts w:ascii="黑体" w:hAnsi="宋体" w:eastAsia="黑体"/>
          <w:b/>
          <w:sz w:val="28"/>
          <w:szCs w:val="28"/>
        </w:rPr>
      </w:pPr>
      <w:r>
        <w:rPr>
          <w:rFonts w:hint="eastAsia" w:ascii="黑体" w:hAnsi="宋体" w:eastAsia="黑体"/>
          <w:b/>
          <w:sz w:val="28"/>
          <w:szCs w:val="28"/>
        </w:rPr>
        <w:t>（201</w:t>
      </w:r>
      <w:r>
        <w:rPr>
          <w:rFonts w:ascii="黑体" w:hAnsi="宋体" w:eastAsia="黑体"/>
          <w:b/>
          <w:sz w:val="28"/>
          <w:szCs w:val="28"/>
        </w:rPr>
        <w:t>8</w:t>
      </w:r>
      <w:r>
        <w:rPr>
          <w:rFonts w:hint="eastAsia" w:ascii="黑体" w:hAnsi="宋体" w:eastAsia="黑体"/>
          <w:b/>
          <w:sz w:val="28"/>
          <w:szCs w:val="28"/>
        </w:rPr>
        <w:t>-201</w:t>
      </w:r>
      <w:r>
        <w:rPr>
          <w:rFonts w:ascii="黑体" w:hAnsi="宋体" w:eastAsia="黑体"/>
          <w:b/>
          <w:sz w:val="28"/>
          <w:szCs w:val="28"/>
        </w:rPr>
        <w:t>9</w:t>
      </w:r>
      <w:r>
        <w:rPr>
          <w:rFonts w:hint="eastAsia" w:ascii="黑体" w:hAnsi="宋体" w:eastAsia="黑体"/>
          <w:b/>
          <w:sz w:val="28"/>
          <w:szCs w:val="28"/>
        </w:rPr>
        <w:t>学年第2学期  第</w:t>
      </w:r>
      <w:r>
        <w:rPr>
          <w:rFonts w:hint="eastAsia" w:ascii="黑体" w:hAnsi="宋体" w:eastAsia="黑体"/>
          <w:b/>
          <w:sz w:val="28"/>
          <w:szCs w:val="28"/>
          <w:lang w:val="en-US" w:eastAsia="zh-CN"/>
        </w:rPr>
        <w:t>4</w:t>
      </w:r>
      <w:r>
        <w:rPr>
          <w:rFonts w:hint="eastAsia" w:ascii="黑体" w:hAnsi="宋体" w:eastAsia="黑体"/>
          <w:b/>
          <w:sz w:val="28"/>
          <w:szCs w:val="28"/>
        </w:rPr>
        <w:t>期）</w:t>
      </w:r>
    </w:p>
    <w:p>
      <w:pPr>
        <w:pBdr>
          <w:bottom w:val="single" w:color="auto" w:sz="12" w:space="1"/>
        </w:pBdr>
        <w:spacing w:line="400" w:lineRule="exact"/>
        <w:rPr>
          <w:rFonts w:ascii="楷体" w:hAnsi="楷体" w:eastAsia="楷体"/>
          <w:b/>
          <w:sz w:val="24"/>
        </w:rPr>
      </w:pPr>
      <w:r>
        <w:rPr>
          <w:rFonts w:hint="eastAsia" w:ascii="楷体" w:hAnsi="楷体" w:eastAsia="楷体"/>
          <w:b/>
          <w:sz w:val="24"/>
        </w:rPr>
        <w:t>江苏医药职业学院党委宣传部编　　　　　　　　　　           2019年</w:t>
      </w:r>
      <w:r>
        <w:rPr>
          <w:rFonts w:hint="eastAsia" w:ascii="楷体" w:hAnsi="楷体" w:eastAsia="楷体"/>
          <w:b/>
          <w:sz w:val="24"/>
          <w:lang w:val="en-US" w:eastAsia="zh-CN"/>
        </w:rPr>
        <w:t>4</w:t>
      </w:r>
      <w:r>
        <w:rPr>
          <w:rFonts w:hint="eastAsia" w:ascii="楷体" w:hAnsi="楷体" w:eastAsia="楷体"/>
          <w:b/>
          <w:sz w:val="24"/>
        </w:rPr>
        <w:t>月</w:t>
      </w:r>
      <w:r>
        <w:rPr>
          <w:rFonts w:hint="eastAsia" w:ascii="楷体" w:hAnsi="楷体" w:eastAsia="楷体"/>
          <w:b/>
          <w:sz w:val="24"/>
          <w:lang w:val="en-US" w:eastAsia="zh-CN"/>
        </w:rPr>
        <w:t>10</w:t>
      </w:r>
      <w:r>
        <w:rPr>
          <w:rFonts w:hint="eastAsia" w:ascii="楷体" w:hAnsi="楷体" w:eastAsia="楷体"/>
          <w:b/>
          <w:sz w:val="24"/>
        </w:rPr>
        <w:t>日</w:t>
      </w:r>
    </w:p>
    <w:p>
      <w:pPr>
        <w:spacing w:line="400" w:lineRule="exact"/>
        <w:jc w:val="left"/>
        <w:rPr>
          <w:rFonts w:ascii="黑体" w:hAnsi="黑体" w:eastAsia="黑体"/>
          <w:kern w:val="28"/>
          <w:sz w:val="28"/>
          <w:szCs w:val="28"/>
        </w:rPr>
      </w:pPr>
    </w:p>
    <w:p>
      <w:pPr>
        <w:spacing w:line="400" w:lineRule="exact"/>
        <w:jc w:val="left"/>
        <w:rPr>
          <w:rFonts w:ascii="黑体" w:hAnsi="黑体" w:eastAsia="黑体"/>
          <w:b/>
          <w:kern w:val="28"/>
          <w:sz w:val="28"/>
          <w:szCs w:val="28"/>
        </w:rPr>
      </w:pPr>
      <w:r>
        <w:rPr>
          <w:rFonts w:hint="eastAsia" w:ascii="黑体" w:hAnsi="黑体" w:eastAsia="黑体"/>
          <w:b/>
          <w:kern w:val="28"/>
          <w:sz w:val="32"/>
          <w:szCs w:val="32"/>
        </w:rPr>
        <w:t>●学习内容：</w:t>
      </w:r>
    </w:p>
    <w:p>
      <w:pPr>
        <w:widowControl/>
        <w:spacing w:line="400" w:lineRule="exact"/>
        <w:rPr>
          <w:rFonts w:ascii="黑体" w:eastAsia="黑体"/>
          <w:b/>
          <w:bCs/>
          <w:color w:val="000000"/>
          <w:sz w:val="30"/>
          <w:szCs w:val="30"/>
        </w:rPr>
      </w:pPr>
    </w:p>
    <w:p>
      <w:pPr>
        <w:widowControl/>
        <w:spacing w:line="400" w:lineRule="exact"/>
        <w:rPr>
          <w:rFonts w:ascii="黑体" w:eastAsia="黑体"/>
          <w:b/>
          <w:bCs/>
          <w:color w:val="000000"/>
          <w:sz w:val="30"/>
          <w:szCs w:val="30"/>
        </w:rPr>
      </w:pPr>
    </w:p>
    <w:p>
      <w:pPr>
        <w:widowControl/>
        <w:spacing w:line="400" w:lineRule="exact"/>
        <w:rPr>
          <w:rFonts w:ascii="黑体" w:hAnsi="黑体" w:eastAsia="黑体" w:cs="宋体"/>
          <w:b/>
          <w:bCs/>
          <w:kern w:val="0"/>
          <w:sz w:val="32"/>
          <w:szCs w:val="32"/>
        </w:rPr>
      </w:pPr>
    </w:p>
    <w:p>
      <w:pPr>
        <w:widowControl/>
        <w:spacing w:line="400" w:lineRule="exact"/>
        <w:rPr>
          <w:rFonts w:ascii="黑体" w:hAnsi="黑体" w:eastAsia="黑体" w:cs="宋体"/>
          <w:b/>
          <w:bCs/>
          <w:kern w:val="0"/>
          <w:sz w:val="32"/>
          <w:szCs w:val="32"/>
        </w:rPr>
      </w:pPr>
    </w:p>
    <w:p>
      <w:pPr>
        <w:widowControl/>
        <w:spacing w:line="400" w:lineRule="exact"/>
        <w:rPr>
          <w:rFonts w:ascii="黑体" w:hAnsi="黑体" w:eastAsia="黑体" w:cs="宋体"/>
          <w:b/>
          <w:bCs/>
          <w:kern w:val="0"/>
          <w:sz w:val="32"/>
          <w:szCs w:val="32"/>
        </w:rPr>
      </w:pPr>
    </w:p>
    <w:p>
      <w:pPr>
        <w:widowControl/>
        <w:spacing w:line="400" w:lineRule="exact"/>
        <w:rPr>
          <w:rFonts w:ascii="黑体" w:hAnsi="黑体" w:eastAsia="黑体" w:cs="宋体"/>
          <w:b/>
          <w:bCs/>
          <w:kern w:val="0"/>
          <w:sz w:val="32"/>
          <w:szCs w:val="32"/>
        </w:rPr>
      </w:pPr>
    </w:p>
    <w:p>
      <w:pPr>
        <w:pStyle w:val="9"/>
        <w:numPr>
          <w:ilvl w:val="0"/>
          <w:numId w:val="1"/>
        </w:numPr>
        <w:shd w:val="clear" w:color="auto" w:fill="FFFFFF"/>
        <w:spacing w:before="0" w:beforeAutospacing="0" w:after="0" w:afterAutospacing="0" w:line="480" w:lineRule="auto"/>
        <w:rPr>
          <w:rStyle w:val="12"/>
          <w:rFonts w:hint="eastAsia" w:ascii="黑体" w:hAnsi="黑体" w:eastAsia="黑体"/>
          <w:sz w:val="32"/>
          <w:szCs w:val="32"/>
          <w:shd w:val="clear" w:color="auto" w:fill="FFFFFF"/>
        </w:rPr>
      </w:pPr>
      <w:r>
        <w:rPr>
          <w:rStyle w:val="12"/>
          <w:rFonts w:hint="eastAsia" w:ascii="黑体" w:hAnsi="黑体" w:eastAsia="黑体"/>
          <w:sz w:val="32"/>
          <w:szCs w:val="32"/>
          <w:shd w:val="clear" w:color="auto" w:fill="FFFFFF"/>
        </w:rPr>
        <w:t>省委教育工委省教育厅</w:t>
      </w:r>
      <w:r>
        <w:rPr>
          <w:rStyle w:val="12"/>
          <w:rFonts w:hint="eastAsia" w:ascii="黑体" w:hAnsi="黑体" w:eastAsia="黑体"/>
          <w:sz w:val="32"/>
          <w:szCs w:val="32"/>
          <w:shd w:val="clear" w:color="auto" w:fill="FFFFFF"/>
          <w:lang w:eastAsia="zh-CN"/>
        </w:rPr>
        <w:t>《</w:t>
      </w:r>
      <w:r>
        <w:rPr>
          <w:rStyle w:val="12"/>
          <w:rFonts w:hint="eastAsia" w:ascii="黑体" w:hAnsi="黑体" w:eastAsia="黑体"/>
          <w:sz w:val="32"/>
          <w:szCs w:val="32"/>
          <w:shd w:val="clear" w:color="auto" w:fill="FFFFFF"/>
        </w:rPr>
        <w:t>关于进一步推进学校贯彻落实“三重一大”决策制度的意见</w:t>
      </w:r>
      <w:r>
        <w:rPr>
          <w:rStyle w:val="12"/>
          <w:rFonts w:hint="eastAsia" w:ascii="黑体" w:hAnsi="黑体" w:eastAsia="黑体"/>
          <w:sz w:val="32"/>
          <w:szCs w:val="32"/>
          <w:shd w:val="clear" w:color="auto" w:fill="FFFFFF"/>
          <w:lang w:eastAsia="zh-CN"/>
        </w:rPr>
        <w:t>》（</w:t>
      </w:r>
      <w:r>
        <w:rPr>
          <w:rStyle w:val="12"/>
          <w:rFonts w:hint="eastAsia" w:ascii="黑体" w:hAnsi="黑体" w:eastAsia="黑体"/>
          <w:sz w:val="32"/>
          <w:szCs w:val="32"/>
          <w:shd w:val="clear" w:color="auto" w:fill="FFFFFF"/>
          <w:lang w:val="en-US" w:eastAsia="zh-CN"/>
        </w:rPr>
        <w:t>见附件</w:t>
      </w:r>
      <w:r>
        <w:rPr>
          <w:rStyle w:val="12"/>
          <w:rFonts w:hint="eastAsia" w:ascii="黑体" w:hAnsi="黑体" w:eastAsia="黑体"/>
          <w:sz w:val="32"/>
          <w:szCs w:val="32"/>
          <w:shd w:val="clear" w:color="auto" w:fill="FFFFFF"/>
          <w:lang w:eastAsia="zh-CN"/>
        </w:rPr>
        <w:t>）</w:t>
      </w:r>
    </w:p>
    <w:p>
      <w:pPr>
        <w:pStyle w:val="9"/>
        <w:numPr>
          <w:ilvl w:val="0"/>
          <w:numId w:val="1"/>
        </w:numPr>
        <w:shd w:val="clear" w:color="auto" w:fill="FFFFFF"/>
        <w:spacing w:before="0" w:beforeAutospacing="0" w:after="0" w:afterAutospacing="0" w:line="480" w:lineRule="auto"/>
        <w:rPr>
          <w:rStyle w:val="12"/>
          <w:rFonts w:hint="eastAsia" w:ascii="黑体" w:hAnsi="黑体" w:eastAsia="黑体"/>
          <w:sz w:val="32"/>
          <w:szCs w:val="32"/>
          <w:shd w:val="clear" w:color="auto" w:fill="FFFFFF"/>
          <w:lang w:val="en-US" w:eastAsia="zh-CN"/>
        </w:rPr>
      </w:pPr>
      <w:r>
        <w:rPr>
          <w:rStyle w:val="12"/>
          <w:rFonts w:hint="eastAsia" w:ascii="黑体" w:hAnsi="黑体" w:eastAsia="黑体"/>
          <w:sz w:val="32"/>
          <w:szCs w:val="32"/>
          <w:shd w:val="clear" w:color="auto" w:fill="FFFFFF"/>
          <w:lang w:val="en-US" w:eastAsia="zh-CN"/>
        </w:rPr>
        <w:t>《关于实施中国特色高水平高职学校和专业建设计划的意见》</w:t>
      </w:r>
    </w:p>
    <w:p>
      <w:pPr>
        <w:widowControl/>
        <w:spacing w:line="400" w:lineRule="exact"/>
        <w:jc w:val="center"/>
        <w:rPr>
          <w:rFonts w:ascii="黑体" w:hAnsi="黑体" w:eastAsia="黑体" w:cs="宋体"/>
          <w:b/>
          <w:bCs/>
          <w:kern w:val="0"/>
          <w:sz w:val="32"/>
          <w:szCs w:val="32"/>
        </w:rPr>
      </w:pPr>
      <w:r>
        <w:rPr>
          <w:rFonts w:hint="eastAsia" w:ascii="仿宋_GB2312" w:hAnsi="仿宋_GB2312" w:eastAsia="仿宋_GB2312" w:cs="仿宋_GB2312"/>
          <w:i w:val="0"/>
          <w:caps w:val="0"/>
          <w:color w:val="auto"/>
          <w:spacing w:val="0"/>
          <w:sz w:val="32"/>
          <w:szCs w:val="32"/>
          <w:lang w:val="en-US" w:eastAsia="zh-CN"/>
        </w:rPr>
        <w:t xml:space="preserve"> </w:t>
      </w:r>
    </w:p>
    <w:p>
      <w:pPr>
        <w:widowControl/>
        <w:spacing w:line="400" w:lineRule="exact"/>
        <w:jc w:val="center"/>
        <w:rPr>
          <w:rFonts w:ascii="黑体" w:hAnsi="黑体" w:eastAsia="黑体"/>
          <w:bCs/>
          <w:kern w:val="28"/>
          <w:sz w:val="28"/>
          <w:szCs w:val="28"/>
        </w:rPr>
      </w:pPr>
      <w:r>
        <w:rPr>
          <w:rFonts w:hint="eastAsia" w:ascii="微软雅黑" w:hAnsi="微软雅黑" w:eastAsia="微软雅黑"/>
          <w:kern w:val="36"/>
          <w:sz w:val="28"/>
          <w:szCs w:val="28"/>
        </w:rPr>
        <w:t xml:space="preserve"> </w:t>
      </w:r>
    </w:p>
    <w:p>
      <w:pPr>
        <w:widowControl/>
        <w:spacing w:line="400" w:lineRule="exact"/>
        <w:rPr>
          <w:rFonts w:ascii="黑体" w:hAnsi="黑体" w:eastAsia="黑体"/>
          <w:b/>
          <w:kern w:val="28"/>
          <w:sz w:val="28"/>
          <w:szCs w:val="28"/>
        </w:rPr>
      </w:pPr>
    </w:p>
    <w:p>
      <w:pPr>
        <w:widowControl/>
        <w:spacing w:line="400" w:lineRule="exact"/>
        <w:rPr>
          <w:rFonts w:ascii="黑体" w:hAnsi="黑体" w:eastAsia="黑体"/>
          <w:b/>
          <w:kern w:val="28"/>
          <w:sz w:val="28"/>
          <w:szCs w:val="28"/>
        </w:rPr>
      </w:pPr>
    </w:p>
    <w:p>
      <w:pPr>
        <w:widowControl/>
        <w:spacing w:line="400" w:lineRule="exact"/>
        <w:rPr>
          <w:rFonts w:ascii="黑体" w:hAnsi="黑体" w:eastAsia="黑体"/>
          <w:b/>
          <w:kern w:val="28"/>
          <w:sz w:val="28"/>
          <w:szCs w:val="28"/>
        </w:rPr>
      </w:pPr>
    </w:p>
    <w:p>
      <w:pPr>
        <w:widowControl/>
        <w:spacing w:line="400" w:lineRule="exact"/>
        <w:rPr>
          <w:rFonts w:ascii="黑体" w:hAnsi="黑体" w:eastAsia="黑体"/>
          <w:b/>
          <w:kern w:val="28"/>
          <w:sz w:val="28"/>
          <w:szCs w:val="28"/>
        </w:rPr>
      </w:pPr>
    </w:p>
    <w:p>
      <w:pPr>
        <w:widowControl/>
        <w:spacing w:line="400" w:lineRule="exact"/>
        <w:rPr>
          <w:rFonts w:ascii="黑体" w:hAnsi="黑体" w:eastAsia="黑体"/>
          <w:b/>
          <w:kern w:val="28"/>
          <w:sz w:val="28"/>
          <w:szCs w:val="28"/>
        </w:rPr>
      </w:pPr>
    </w:p>
    <w:p>
      <w:pPr>
        <w:widowControl/>
        <w:spacing w:line="400" w:lineRule="exact"/>
        <w:rPr>
          <w:rFonts w:ascii="黑体" w:hAnsi="黑体" w:eastAsia="黑体"/>
          <w:b/>
          <w:kern w:val="28"/>
          <w:sz w:val="28"/>
          <w:szCs w:val="28"/>
        </w:rPr>
      </w:pPr>
    </w:p>
    <w:p>
      <w:pPr>
        <w:widowControl/>
        <w:spacing w:line="400" w:lineRule="exact"/>
        <w:rPr>
          <w:rFonts w:ascii="黑体" w:hAnsi="黑体" w:eastAsia="黑体"/>
          <w:b/>
          <w:kern w:val="28"/>
          <w:sz w:val="28"/>
          <w:szCs w:val="28"/>
        </w:rPr>
      </w:pPr>
    </w:p>
    <w:p>
      <w:pPr>
        <w:widowControl/>
        <w:spacing w:line="400" w:lineRule="exact"/>
        <w:rPr>
          <w:rFonts w:ascii="黑体" w:hAnsi="黑体" w:eastAsia="黑体"/>
          <w:b/>
          <w:kern w:val="28"/>
          <w:sz w:val="28"/>
          <w:szCs w:val="28"/>
        </w:rPr>
      </w:pPr>
    </w:p>
    <w:p>
      <w:pPr>
        <w:widowControl/>
        <w:spacing w:line="400" w:lineRule="exact"/>
        <w:rPr>
          <w:rFonts w:ascii="黑体" w:hAnsi="黑体" w:eastAsia="黑体"/>
          <w:b/>
          <w:kern w:val="28"/>
          <w:sz w:val="28"/>
          <w:szCs w:val="28"/>
        </w:rPr>
      </w:pPr>
    </w:p>
    <w:p>
      <w:pPr>
        <w:widowControl/>
        <w:spacing w:line="400" w:lineRule="exact"/>
        <w:rPr>
          <w:rFonts w:ascii="黑体" w:hAnsi="黑体" w:eastAsia="黑体"/>
          <w:b/>
          <w:kern w:val="28"/>
          <w:sz w:val="28"/>
          <w:szCs w:val="28"/>
        </w:rPr>
      </w:pPr>
    </w:p>
    <w:p>
      <w:pPr>
        <w:widowControl/>
        <w:spacing w:line="400" w:lineRule="exact"/>
        <w:rPr>
          <w:rFonts w:ascii="黑体" w:hAnsi="黑体" w:eastAsia="黑体"/>
          <w:b/>
          <w:kern w:val="28"/>
          <w:sz w:val="28"/>
          <w:szCs w:val="28"/>
        </w:rPr>
      </w:pPr>
    </w:p>
    <w:p>
      <w:pPr>
        <w:widowControl/>
        <w:spacing w:line="400" w:lineRule="exact"/>
        <w:rPr>
          <w:rFonts w:ascii="黑体" w:hAnsi="黑体" w:eastAsia="黑体"/>
          <w:b/>
          <w:kern w:val="28"/>
          <w:sz w:val="28"/>
          <w:szCs w:val="28"/>
        </w:rPr>
      </w:pPr>
    </w:p>
    <w:p>
      <w:pPr>
        <w:widowControl/>
        <w:spacing w:line="400" w:lineRule="exact"/>
        <w:rPr>
          <w:rFonts w:ascii="黑体" w:hAnsi="黑体" w:eastAsia="黑体"/>
          <w:b/>
          <w:kern w:val="28"/>
          <w:sz w:val="28"/>
          <w:szCs w:val="28"/>
        </w:rPr>
      </w:pPr>
    </w:p>
    <w:p>
      <w:pPr>
        <w:widowControl/>
        <w:spacing w:line="400" w:lineRule="exact"/>
        <w:rPr>
          <w:rFonts w:ascii="黑体" w:hAnsi="黑体" w:eastAsia="黑体"/>
          <w:b/>
          <w:kern w:val="28"/>
          <w:sz w:val="28"/>
          <w:szCs w:val="28"/>
        </w:rPr>
      </w:pPr>
    </w:p>
    <w:p>
      <w:pPr>
        <w:widowControl/>
        <w:spacing w:line="400" w:lineRule="exact"/>
        <w:rPr>
          <w:rFonts w:ascii="黑体" w:hAnsi="黑体" w:eastAsia="黑体"/>
          <w:b/>
          <w:kern w:val="28"/>
          <w:sz w:val="28"/>
          <w:szCs w:val="28"/>
        </w:rPr>
      </w:pPr>
    </w:p>
    <w:p>
      <w:pPr>
        <w:widowControl/>
        <w:spacing w:line="400" w:lineRule="exact"/>
        <w:rPr>
          <w:rFonts w:ascii="黑体" w:hAnsi="黑体" w:eastAsia="黑体"/>
          <w:b/>
          <w:kern w:val="28"/>
          <w:sz w:val="28"/>
          <w:szCs w:val="28"/>
        </w:rPr>
      </w:pPr>
    </w:p>
    <w:p>
      <w:pPr>
        <w:widowControl/>
        <w:spacing w:line="400" w:lineRule="exact"/>
        <w:rPr>
          <w:rFonts w:ascii="黑体" w:hAnsi="黑体" w:eastAsia="黑体"/>
          <w:b/>
          <w:kern w:val="28"/>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ascii="微软雅黑" w:hAnsi="微软雅黑" w:eastAsia="微软雅黑" w:cs="微软雅黑"/>
          <w:b/>
          <w:color w:val="auto"/>
          <w:sz w:val="30"/>
          <w:szCs w:val="30"/>
        </w:rPr>
      </w:pPr>
      <w:r>
        <w:rPr>
          <w:rFonts w:hint="eastAsia" w:ascii="微软雅黑" w:hAnsi="微软雅黑" w:eastAsia="微软雅黑" w:cs="微软雅黑"/>
          <w:b/>
          <w:i w:val="0"/>
          <w:caps w:val="0"/>
          <w:color w:val="auto"/>
          <w:spacing w:val="0"/>
          <w:sz w:val="30"/>
          <w:szCs w:val="30"/>
          <w:bdr w:val="none" w:color="auto" w:sz="0" w:space="0"/>
          <w:shd w:val="clear" w:fill="FFFFFF"/>
        </w:rPr>
        <w:t>教育部 财政部关于实施中国特色高水平</w:t>
      </w:r>
      <w:r>
        <w:rPr>
          <w:rFonts w:hint="eastAsia" w:ascii="微软雅黑" w:hAnsi="微软雅黑" w:eastAsia="微软雅黑" w:cs="微软雅黑"/>
          <w:b/>
          <w:i w:val="0"/>
          <w:caps w:val="0"/>
          <w:color w:val="auto"/>
          <w:spacing w:val="0"/>
          <w:sz w:val="30"/>
          <w:szCs w:val="30"/>
          <w:bdr w:val="none" w:color="auto" w:sz="0" w:space="0"/>
          <w:shd w:val="clear" w:fill="FFFFFF"/>
        </w:rPr>
        <w:br w:type="textWrapping"/>
      </w:r>
      <w:r>
        <w:rPr>
          <w:rFonts w:hint="eastAsia" w:ascii="微软雅黑" w:hAnsi="微软雅黑" w:eastAsia="微软雅黑" w:cs="微软雅黑"/>
          <w:b/>
          <w:i w:val="0"/>
          <w:caps w:val="0"/>
          <w:color w:val="auto"/>
          <w:spacing w:val="0"/>
          <w:sz w:val="30"/>
          <w:szCs w:val="30"/>
          <w:bdr w:val="none" w:color="auto" w:sz="0" w:space="0"/>
          <w:shd w:val="clear" w:fill="FFFFFF"/>
        </w:rPr>
        <w:t>高职学校和专业建设计划的意见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b w:val="0"/>
          <w:i w:val="0"/>
          <w:caps w:val="0"/>
          <w:color w:val="4B4B4B"/>
          <w:spacing w:val="0"/>
          <w:sz w:val="24"/>
          <w:szCs w:val="24"/>
          <w:bdr w:val="none" w:color="auto" w:sz="0" w:space="0"/>
          <w:shd w:val="clear" w:fill="FFFFFF"/>
        </w:rPr>
        <w:t>教职成〔2019〕5号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各省、自治区、直辖市教育厅（教委）、财政厅（局），新疆生产建设兵团教育局、财政局：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为深入贯彻落实全国教育大会精神，</w:t>
      </w:r>
      <w:bookmarkStart w:id="0" w:name="_GoBack"/>
      <w:bookmarkEnd w:id="0"/>
      <w:r>
        <w:rPr>
          <w:rFonts w:hint="eastAsia" w:ascii="仿宋" w:hAnsi="仿宋" w:eastAsia="仿宋" w:cs="仿宋"/>
          <w:b w:val="0"/>
          <w:i w:val="0"/>
          <w:caps w:val="0"/>
          <w:color w:val="auto"/>
          <w:spacing w:val="0"/>
          <w:sz w:val="32"/>
          <w:szCs w:val="32"/>
          <w:bdr w:val="none" w:color="auto" w:sz="0" w:space="0"/>
          <w:shd w:val="clear" w:fill="FFFFFF"/>
        </w:rPr>
        <w:t>落实《国家职业教育改革实施方案》，集中力量建设一批引领改革、支撑发展、中国特色、世界水平的高职学校和专业群，带动职业教育持续深化改革，强化内涵建设，实现高质量发展，现就实施中国特色高水平高职学校和专业建设计划（以下简称“双高计划”）提出如下意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Style w:val="12"/>
          <w:rFonts w:hint="eastAsia" w:ascii="仿宋" w:hAnsi="仿宋" w:eastAsia="仿宋" w:cs="仿宋"/>
          <w:i w:val="0"/>
          <w:caps w:val="0"/>
          <w:color w:val="auto"/>
          <w:spacing w:val="0"/>
          <w:sz w:val="32"/>
          <w:szCs w:val="32"/>
          <w:bdr w:val="none" w:color="auto" w:sz="0" w:space="0"/>
          <w:shd w:val="clear" w:fill="FFFFFF"/>
        </w:rPr>
        <w:t>　　一、总体要求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（一）指导思想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以习近平新时代中国特色社会主义思想为指导，牢固树立新发展理念，服务建设现代化经济体系和更高质量更充分就业需要，扎根中国、放眼世界、面向未来，强力推进产教融合、校企合作，聚焦高端产业和产业高端，重点支持一批优质高职学校和专业群率先发展，引领职业教育服务国家战略、融入区域发展、促进产业升级，为建设教育强国、人才强国作出重要贡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（二）基本原则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坚持中国特色。扎根中国大地，全面贯彻党的教育方针，坚定社会主义办学方向，完善职业教育和培训体系，健全德技并修、工学结合的育人机制，服务新时代经济高质量发展，为中国产业走向全球产业中高端提供高素质技术技能人才支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坚持产教融合。创新高等职业教育与产业融合发展的运行模式，精准对接区域人才需求，提升高职学校服务产业转型升级的能力，推动高职学校和行业企业形成命运共同体，为加快建设现代产业体系，增强产业核心竞争力提供有力支撑。</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——坚持扶优扶强。质量为先、以点带面，兼顾区域和产业布局，支持基础条件优良、改革成效突出、办学特色鲜明的高职学校和专业群率先发展，积累可复制、可借鉴的改革经验和模式，发挥示范引领作用。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——坚持持续推进。按周期、分阶段推进建设，实行动态管理、过程监测、有进有出、优胜劣汰，完善持续支持高水平高职学校和专业群建设的机制，实现高质量发展。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坚持省级统筹。发挥地方支持职业教育改革发展的积极性和主动性，加大资金和政策保障力度。中央财政以奖补的形式通过相关转移支付给予引导支持。多渠道扩大资源供给，构建政府行业企业学校协同推进职业教育发展新机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（三）总体目标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围绕办好新时代职业教育的新要求，集中力量建设50所左右高水平高职学校和150个左右高水平专业群，打造技术技能人才培养高地和技术技能创新服务平台，支撑国家重点产业、区域支柱产业发展，引领新时代职业教育实现高质量发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到2022年，列入计划的高职学校和专业群办学水平、服务能力、国际影响显著提升，为职业教育改革发展和培养千万计的高素质技术技能人才发挥示范引领作用，使职业教育成为支撑国家战略和地方经济社会发展的重要力量。形成一批有效支撑职业教育高质量发展的政策、制度、标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到2035年，一批高职学校和专业群达到国际先进水平，引领职业教育实现现代化，为促进经济社会发展和提高国家竞争力提供优质人才资源支撑。职业教育高质量发展的政策、制度、标准体系更加成熟完善，形成中国特色职业教育发展模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Style w:val="12"/>
          <w:rFonts w:hint="eastAsia" w:ascii="仿宋" w:hAnsi="仿宋" w:eastAsia="仿宋" w:cs="仿宋"/>
          <w:i w:val="0"/>
          <w:caps w:val="0"/>
          <w:color w:val="auto"/>
          <w:spacing w:val="0"/>
          <w:sz w:val="32"/>
          <w:szCs w:val="32"/>
          <w:bdr w:val="none" w:color="auto" w:sz="0" w:space="0"/>
          <w:shd w:val="clear" w:fill="FFFFFF"/>
        </w:rPr>
        <w:t>　　二、改革发展任务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（四）加强党的建设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深入推进习近平新时代中国特色社会主义思想进教材进课堂进头脑，大力开展理想信念教育和社会主义核心价值观教育，构建全员全过程全方位育人的思想政治工作格局，实现职业技能和职业精神培养高度融合。落实党委领导下的校长负责制，充分发挥党组织在学校的领导核心和政治核心作用，牢牢把握意识形态主动权，引导广大师生树牢“四个意识”、坚定“四个自信”、坚决做到“两个维护”。加强基层党组织建设，将党的建设与学校事业发展同部署、同落实、同考评，有效发挥基层党组织战斗堡垒作用和共产党员先锋模范作用，带动学校工会、共青团等群团组织和学生会组织建设，为学校改革发展提供坚强组织保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（五）打造技术技能人才培养高地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落实立德树人根本任务，将社会主义核心价值观教育贯穿技术技能人才培养全过程。坚持工学结合、知行合一，加强学生认知能力、合作能力、创新能力和职业能力培养。加强劳动教育，以劳树德、以劳增智、以劳强体、以劳育美。培育和传承工匠精神，引导学生养成严谨专注、敬业专业、精益求精和追求卓越的品质。深化复合型技术技能人才培养培训模式改革，率先开展“学历证书+若干职业技能等级证书”制度试点。在全面提高质量的基础上，着力培养一批产业急需、技艺高超的高素质技术技能人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（六）打造技术技能创新服务平台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对接科技发展趋势，以技术技能积累为纽带，建设集人才培养、团队建设、技术服务于一体，资源共享、机制灵活、产出高效的人才培养与技术创新平台，促进创新成果与核心技术产业化，重点服务企业特别是中小微企业的技术研发和产品升级。加强与地方政府、产业园区、行业深度合作，建设兼具科技攻关、智库咨询、英才培养、创新创业功能，体现学校特色的产教融合平台，服务区域发展和产业转型升级。进一步提高专业群集聚度和配套供给服务能力，与行业领先企业深度合作，建设兼具产品研发、工艺开发、技术推广、大师培育功能的技术技能平台，服务重点行业和支柱产业发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（七）打造高水平专业群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面向区域或行业重点产业，依托优势特色专业，健全对接产业、动态调整、自我完善的专业群建设发展机制，促进专业资源整合和结构优化，发挥专业群的集聚效应和服务功能，实现人才培养供给侧和产业需求侧结构要素全方位融合。校企共同研制科学规范、国际可借鉴的人才培养方案和课程标准，将新技术、新工艺、新规范等产业先进元素纳入教学标准和教学内容，建设开放共享的专业群课程教学资源和实践教学基地。组建高水平、结构化教师教学创新团队，探索教师分工协作的模块化教学模式，深化教材与教法改革，推动课堂革命。建立健全多方协同的专业群可持续发展保障机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（八）打造高水平双师队伍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以“四有”标准打造数量充足、专兼结合、结构合理的高水平双师队伍。培育引进一批行业有权威、国际有影响的专业群建设带头人，着力培养一批能够改进企业产品工艺、解决生产技术难题的骨干教师，合力培育一批具有绝技绝艺的技术技能大师。聘请行业企业领军人才、大师名匠兼职任教。建立健全教师职前培养、入职培训和在职研修体系。建设教师发展中心，提升教师教学和科研能力，促进教师职业发展。创新教师评价机制，建立以业绩贡献和能力水平为导向、以目标管理和目标考核为重点的绩效工资动态调整机制，实现多劳多得、优绩优酬。</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（九）提升校企合作水平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与行业领先企业在人才培养、技术创新、社会服务、就业创业、文化传承等方面深度合作，形成校企命运共同体。把握全球产业发展、国内产业升级的新机遇，主动参与供需对接和流程再造，推动专业建设与产业发展相适应，实质推进协同育人。施行校企联合培养、双主体育人的中国特色现代学徒制。推行面向企业真实生产环境的任务式培养模式。牵头组建职业教育集团，推进实体化运作，实现资源共建共享。吸引企业联合建设产业学院和企业工作室、实验室、创新基地、实践基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（十）提升服务发展水平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培养适应高端产业和产业高端需要的高素质技术技能人才，服务中国产业走向全球产业中高端。以应用技术解决生产生活中的实际问题，切实提高生产效率、产品质量和服务品质。加强新产品开发和技术成果的推广转化，推动中小企业的技术研发和产品升级，促进民族传统工艺、民间技艺传承创新。面向脱贫攻坚主战场，积极吸引贫困地区学生到“双高计划”学校就学。服务乡村振兴战略，广泛开展面向农业农村的职业教育和培训。面向区域经济社会发展急需紧缺领域，大力开展高技能人才培训。积极主动开展职工继续教育，拓展社区教育和终身学习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（十一）提升学校治理水平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健全内部治理体系，完善以章程为核心的现代职业学校制度体系，形成学校自主管理、自我约束的体制机制，推进治理能力现代化。健全学校、行业、企业、社区等共同参与的学校理事会或董事会，发挥咨询、协商、议事和监督作用。设立校级学术委员会，统筹行使学术事务的决策、审议、评定和咨询等职权。设立校级专业建设委员会和教材选用委员会，指导和促进专业建设和教学改革。发挥教职工代表大会作用，审议学校重大问题。优化内部治理结构，扩大二级院系管理自主权，发展跨专业教学组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（十二）提升信息化水平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加快智慧校园建设，促进信息技术和智能技术深度融入教育教学和管理服务全过程，改进教学、优化管理、提升绩效。消除信息孤岛，保证信息安全，综合运用大数据、人工智能等手段推进学校管理方式变革，提升管理效能和水平。以“信息技术+”升级传统专业，及时发展数字经济催生的新兴专业。适应“互联网+职业教育”需求，推进数字资源、优秀师资、教育数据共建共享，助力教育服务供给模式升级。提升师生信息素养，建设智慧课堂和虚拟工厂，广泛应用线上线下混合教学，促进自主、泛在、个性化学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（十三）提升国际化水平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加强与职业教育发达国家的交流合作，引进优质职业教育资源，参与制订职业教育国际标准。开发国际通用的专业标准和课程体系，推出一批具有国际影响的高质量专业标准、课程标准、教学资源，打造中国职业教育国际品牌。积极参与“一带一路”建设和国际产能合作，培养国际化技术技能人才，促进中外人文交流。探索援助发展中国家职业教育的渠道和模式。开展国际职业教育服务，承接“走出去”中资企业海外员工教育培训，建设一批鲁班工坊，推动技术技能人才本土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Style w:val="12"/>
          <w:rFonts w:hint="eastAsia" w:ascii="仿宋" w:hAnsi="仿宋" w:eastAsia="仿宋" w:cs="仿宋"/>
          <w:i w:val="0"/>
          <w:caps w:val="0"/>
          <w:color w:val="auto"/>
          <w:spacing w:val="0"/>
          <w:sz w:val="32"/>
          <w:szCs w:val="32"/>
          <w:bdr w:val="none" w:color="auto" w:sz="0" w:space="0"/>
          <w:shd w:val="clear" w:fill="FFFFFF"/>
        </w:rPr>
        <w:t>　　三、组织实施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（十四）建立协同推进机制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国家有关部门负责宏观布局、统筹协调、经费管理等顶层设计，围绕经济社会发展和国家战略需要，适时调整建设重点，成立项目建设咨询专家委员会，为重大政策、总体方案、审核立项、监督评价等提供咨询和支撑。各地要加强政策支持和经费保障，动员各方力量支持项目建设，对接区域经济社会发展需求，构建以“双高计划”学校为引领，区域内高职学校协调发展的格局。“双高计划”学校要深化改革创新，聚焦建设任务，科学编制建设方案和任务书，健全责任机制，扎实推进建设，确保工作成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（十五）加强项目实施管理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双高计划”每五年一个支持周期，2019年启动第一轮建设。制定项目遴选管理办法，明确遴选条件和程序，公开申请、公平竞争、公正认定。项目遴选坚持质量为先、改革导向，以学校、专业的客观发展水平为基础，对职业教育发展环境好、重点工作推进有力、改革成效明显的省（区、市）予以倾斜支持。制定项目绩效评价办法，建立信息采集与绩效管理系统，实行年度评价项目建设绩效，中期调整项目经费支持额度；依据周期绩效评价结果，调整项目建设单位。发挥第三方评价作用，定期跟踪评价。建立信息公开公示网络平台，接受社会监督。</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（十六）健全多元投入机制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各地新增教育经费向职业教育倾斜，在完善高职生均拨款制度、逐步提高生均拨款水平的基础上，对“双高计划”学校给予重点支持，中央财政通过现代职业教育质量提升计划专项资金对“双高计划”给予奖补支持，发挥引导作用。有关部门和行业企业以共建、共培等方式积极参与项目建设。项目学校以服务求发展，积极筹集社会资源，增强自我造血功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（十七）优化改革发展环境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rPr>
        <w:t>　　各地要结合区域功能、产业特点探索差别化的职业教育发展路径，建立健全产教对接机制，促进人才培养与产业需求有机衔接。加大“双高计划”学校的支持力度，在领导班子、核定教师编制、高级教师岗位比例、绩效工资总量等方面按规定给予政策倾斜。深入推进“放管服”改革，在专业设置、内设机构及岗位设置、进人用人、经费使用管理上进一步扩大学校办学自主权。建立健全改革创新容错纠错机制，鼓励“双高计划”学校大胆试、大胆闯，激发和保护干部队伍敢于担当、干事创业的积极性、主动性、创造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bdr w:val="none" w:color="auto" w:sz="0" w:space="0"/>
          <w:shd w:val="clear" w:fill="FFFFFF"/>
          <w:lang w:val="en-US" w:eastAsia="zh-CN"/>
        </w:rPr>
        <w:t xml:space="preserve">                                        </w:t>
      </w:r>
      <w:r>
        <w:rPr>
          <w:rFonts w:hint="eastAsia" w:ascii="仿宋" w:hAnsi="仿宋" w:eastAsia="仿宋" w:cs="仿宋"/>
          <w:b w:val="0"/>
          <w:i w:val="0"/>
          <w:caps w:val="0"/>
          <w:color w:val="auto"/>
          <w:spacing w:val="0"/>
          <w:sz w:val="32"/>
          <w:szCs w:val="32"/>
          <w:bdr w:val="none" w:color="auto" w:sz="0" w:space="0"/>
          <w:shd w:val="clear" w:fill="FFFFFF"/>
        </w:rPr>
        <w:t>教育部 财政部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right"/>
        <w:textAlignment w:val="auto"/>
        <w:rPr>
          <w:rFonts w:hint="eastAsia" w:ascii="仿宋" w:hAnsi="仿宋" w:eastAsia="仿宋" w:cs="仿宋"/>
          <w:b/>
          <w:color w:val="auto"/>
          <w:kern w:val="28"/>
          <w:sz w:val="32"/>
          <w:szCs w:val="32"/>
        </w:rPr>
      </w:pPr>
      <w:r>
        <w:rPr>
          <w:rFonts w:hint="eastAsia" w:ascii="仿宋" w:hAnsi="仿宋" w:eastAsia="仿宋" w:cs="仿宋"/>
          <w:b w:val="0"/>
          <w:i w:val="0"/>
          <w:caps w:val="0"/>
          <w:color w:val="auto"/>
          <w:spacing w:val="0"/>
          <w:sz w:val="32"/>
          <w:szCs w:val="32"/>
          <w:bdr w:val="none" w:color="auto" w:sz="0" w:space="0"/>
          <w:shd w:val="clear" w:fill="FFFFFF"/>
        </w:rPr>
        <w:t>2019年3月29</w:t>
      </w:r>
      <w:r>
        <w:rPr>
          <w:rFonts w:hint="eastAsia" w:ascii="仿宋" w:hAnsi="仿宋" w:eastAsia="仿宋" w:cs="仿宋"/>
          <w:b w:val="0"/>
          <w:i w:val="0"/>
          <w:caps w:val="0"/>
          <w:color w:val="auto"/>
          <w:spacing w:val="0"/>
          <w:sz w:val="32"/>
          <w:szCs w:val="32"/>
          <w:bdr w:val="none" w:color="auto" w:sz="0" w:space="0"/>
          <w:shd w:val="clear" w:fill="FFFFFF"/>
          <w:lang w:val="en-US" w:eastAsia="zh-CN"/>
        </w:rPr>
        <w:t>日</w:t>
      </w:r>
    </w:p>
    <w:p>
      <w:pPr>
        <w:widowControl/>
        <w:spacing w:line="400" w:lineRule="exact"/>
        <w:rPr>
          <w:rFonts w:ascii="黑体" w:hAnsi="黑体" w:eastAsia="黑体"/>
          <w:b/>
          <w:kern w:val="28"/>
          <w:sz w:val="28"/>
          <w:szCs w:val="28"/>
        </w:rPr>
      </w:pPr>
    </w:p>
    <w:p>
      <w:pPr>
        <w:widowControl/>
        <w:spacing w:line="400" w:lineRule="exact"/>
        <w:rPr>
          <w:rFonts w:hint="eastAsia" w:ascii="黑体" w:hAnsi="黑体" w:eastAsia="黑体"/>
          <w:b/>
          <w:kern w:val="28"/>
          <w:sz w:val="28"/>
          <w:szCs w:val="28"/>
        </w:rPr>
      </w:pPr>
    </w:p>
    <w:sectPr>
      <w:footerReference r:id="rId3" w:type="default"/>
      <w:footerReference r:id="rId4" w:type="even"/>
      <w:pgSz w:w="11906" w:h="16838"/>
      <w:pgMar w:top="1418" w:right="1418" w:bottom="1418"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20</w:t>
    </w:r>
    <w:r>
      <w:rPr>
        <w:rStyle w:val="13"/>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E8BCC6"/>
    <w:multiLevelType w:val="singleLevel"/>
    <w:tmpl w:val="D5E8BCC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21AD2"/>
    <w:rsid w:val="0000676F"/>
    <w:rsid w:val="00010D6D"/>
    <w:rsid w:val="0001108F"/>
    <w:rsid w:val="0001255F"/>
    <w:rsid w:val="0004286F"/>
    <w:rsid w:val="00047611"/>
    <w:rsid w:val="00061E09"/>
    <w:rsid w:val="000629EE"/>
    <w:rsid w:val="0006343A"/>
    <w:rsid w:val="00076827"/>
    <w:rsid w:val="000A6774"/>
    <w:rsid w:val="000C3616"/>
    <w:rsid w:val="000D3185"/>
    <w:rsid w:val="00101243"/>
    <w:rsid w:val="00104218"/>
    <w:rsid w:val="001101AF"/>
    <w:rsid w:val="00117C97"/>
    <w:rsid w:val="0013152C"/>
    <w:rsid w:val="00142BA7"/>
    <w:rsid w:val="0014386A"/>
    <w:rsid w:val="00152E5A"/>
    <w:rsid w:val="001543C5"/>
    <w:rsid w:val="001663CA"/>
    <w:rsid w:val="001A17C7"/>
    <w:rsid w:val="001A2046"/>
    <w:rsid w:val="001B072C"/>
    <w:rsid w:val="001D540B"/>
    <w:rsid w:val="0023789F"/>
    <w:rsid w:val="002548CA"/>
    <w:rsid w:val="0025494F"/>
    <w:rsid w:val="002552C0"/>
    <w:rsid w:val="00255F99"/>
    <w:rsid w:val="002772E4"/>
    <w:rsid w:val="002803D9"/>
    <w:rsid w:val="002876B4"/>
    <w:rsid w:val="002B407E"/>
    <w:rsid w:val="002B40BB"/>
    <w:rsid w:val="002E067E"/>
    <w:rsid w:val="002F3115"/>
    <w:rsid w:val="002F3B05"/>
    <w:rsid w:val="00301D8C"/>
    <w:rsid w:val="003141CC"/>
    <w:rsid w:val="0032615D"/>
    <w:rsid w:val="00330140"/>
    <w:rsid w:val="00331DC8"/>
    <w:rsid w:val="00345FB7"/>
    <w:rsid w:val="00373A74"/>
    <w:rsid w:val="00387EF1"/>
    <w:rsid w:val="00394FA4"/>
    <w:rsid w:val="003A04C1"/>
    <w:rsid w:val="003A587E"/>
    <w:rsid w:val="003E7D3B"/>
    <w:rsid w:val="004008AF"/>
    <w:rsid w:val="0040151D"/>
    <w:rsid w:val="00424CE6"/>
    <w:rsid w:val="00433AC1"/>
    <w:rsid w:val="00446DF6"/>
    <w:rsid w:val="004961E1"/>
    <w:rsid w:val="004A0E8F"/>
    <w:rsid w:val="004A1368"/>
    <w:rsid w:val="004A4A52"/>
    <w:rsid w:val="004B3EDE"/>
    <w:rsid w:val="004C0A24"/>
    <w:rsid w:val="004D2FF7"/>
    <w:rsid w:val="004F7D3C"/>
    <w:rsid w:val="00512305"/>
    <w:rsid w:val="00534C52"/>
    <w:rsid w:val="00545CF1"/>
    <w:rsid w:val="005504A5"/>
    <w:rsid w:val="00550731"/>
    <w:rsid w:val="005530A9"/>
    <w:rsid w:val="005545EB"/>
    <w:rsid w:val="0056554D"/>
    <w:rsid w:val="0057604A"/>
    <w:rsid w:val="005763CC"/>
    <w:rsid w:val="00590FDF"/>
    <w:rsid w:val="005C67C8"/>
    <w:rsid w:val="005D4A37"/>
    <w:rsid w:val="005D54B1"/>
    <w:rsid w:val="005E1E15"/>
    <w:rsid w:val="005F54DA"/>
    <w:rsid w:val="005F5D9F"/>
    <w:rsid w:val="005F7113"/>
    <w:rsid w:val="0060145B"/>
    <w:rsid w:val="006070A3"/>
    <w:rsid w:val="00630455"/>
    <w:rsid w:val="00637471"/>
    <w:rsid w:val="006417A2"/>
    <w:rsid w:val="0068534F"/>
    <w:rsid w:val="006875CD"/>
    <w:rsid w:val="006877ED"/>
    <w:rsid w:val="0069506B"/>
    <w:rsid w:val="006A3A36"/>
    <w:rsid w:val="006B37BD"/>
    <w:rsid w:val="006E172A"/>
    <w:rsid w:val="006F26E6"/>
    <w:rsid w:val="006F2D79"/>
    <w:rsid w:val="006F7017"/>
    <w:rsid w:val="007011EF"/>
    <w:rsid w:val="00721AD2"/>
    <w:rsid w:val="00752635"/>
    <w:rsid w:val="00757E55"/>
    <w:rsid w:val="00770467"/>
    <w:rsid w:val="0077252B"/>
    <w:rsid w:val="0078047F"/>
    <w:rsid w:val="00782DB8"/>
    <w:rsid w:val="00794581"/>
    <w:rsid w:val="00796CA9"/>
    <w:rsid w:val="007A5984"/>
    <w:rsid w:val="007B4814"/>
    <w:rsid w:val="007B4C66"/>
    <w:rsid w:val="007C22AB"/>
    <w:rsid w:val="007C29A1"/>
    <w:rsid w:val="007C6F20"/>
    <w:rsid w:val="007E6556"/>
    <w:rsid w:val="007E6BEA"/>
    <w:rsid w:val="00800230"/>
    <w:rsid w:val="008016E3"/>
    <w:rsid w:val="008022A6"/>
    <w:rsid w:val="00802FCD"/>
    <w:rsid w:val="00817B44"/>
    <w:rsid w:val="008235D7"/>
    <w:rsid w:val="00826B6C"/>
    <w:rsid w:val="008716C1"/>
    <w:rsid w:val="00886323"/>
    <w:rsid w:val="00896C08"/>
    <w:rsid w:val="008974C4"/>
    <w:rsid w:val="008A0DD3"/>
    <w:rsid w:val="008A69D0"/>
    <w:rsid w:val="008B4FB5"/>
    <w:rsid w:val="008B6C05"/>
    <w:rsid w:val="008C51A7"/>
    <w:rsid w:val="008D4B54"/>
    <w:rsid w:val="008D746D"/>
    <w:rsid w:val="008E551F"/>
    <w:rsid w:val="00913C24"/>
    <w:rsid w:val="009164BE"/>
    <w:rsid w:val="00921613"/>
    <w:rsid w:val="00922584"/>
    <w:rsid w:val="009264EB"/>
    <w:rsid w:val="009328E1"/>
    <w:rsid w:val="009345AA"/>
    <w:rsid w:val="009371FE"/>
    <w:rsid w:val="00944F14"/>
    <w:rsid w:val="00992C4E"/>
    <w:rsid w:val="00997C1D"/>
    <w:rsid w:val="009B1F4B"/>
    <w:rsid w:val="009B246C"/>
    <w:rsid w:val="009B442D"/>
    <w:rsid w:val="009D0AA6"/>
    <w:rsid w:val="009D0FCF"/>
    <w:rsid w:val="009F2D59"/>
    <w:rsid w:val="00A10AD6"/>
    <w:rsid w:val="00A111D6"/>
    <w:rsid w:val="00A23DF4"/>
    <w:rsid w:val="00A26976"/>
    <w:rsid w:val="00A5020F"/>
    <w:rsid w:val="00A55FE6"/>
    <w:rsid w:val="00A661E1"/>
    <w:rsid w:val="00A75450"/>
    <w:rsid w:val="00A75842"/>
    <w:rsid w:val="00A76538"/>
    <w:rsid w:val="00A76D83"/>
    <w:rsid w:val="00A81C57"/>
    <w:rsid w:val="00AC0000"/>
    <w:rsid w:val="00AC461C"/>
    <w:rsid w:val="00AD209F"/>
    <w:rsid w:val="00AD2D29"/>
    <w:rsid w:val="00AE7874"/>
    <w:rsid w:val="00B01CC9"/>
    <w:rsid w:val="00B020A9"/>
    <w:rsid w:val="00B470CE"/>
    <w:rsid w:val="00B56A0B"/>
    <w:rsid w:val="00B5791A"/>
    <w:rsid w:val="00B72DC0"/>
    <w:rsid w:val="00B82B3E"/>
    <w:rsid w:val="00B93FFE"/>
    <w:rsid w:val="00B940D7"/>
    <w:rsid w:val="00BA79DC"/>
    <w:rsid w:val="00BD676B"/>
    <w:rsid w:val="00BF2F87"/>
    <w:rsid w:val="00BF39D7"/>
    <w:rsid w:val="00BF4234"/>
    <w:rsid w:val="00BF49F7"/>
    <w:rsid w:val="00BF5968"/>
    <w:rsid w:val="00BF765E"/>
    <w:rsid w:val="00C30AEA"/>
    <w:rsid w:val="00C40AAF"/>
    <w:rsid w:val="00C4673C"/>
    <w:rsid w:val="00C605B1"/>
    <w:rsid w:val="00C62A38"/>
    <w:rsid w:val="00C653F5"/>
    <w:rsid w:val="00C94362"/>
    <w:rsid w:val="00CA2368"/>
    <w:rsid w:val="00CA5C2A"/>
    <w:rsid w:val="00CB34D2"/>
    <w:rsid w:val="00CF0CD9"/>
    <w:rsid w:val="00CF48D4"/>
    <w:rsid w:val="00CF6E8E"/>
    <w:rsid w:val="00D11936"/>
    <w:rsid w:val="00D12CCB"/>
    <w:rsid w:val="00D21EA2"/>
    <w:rsid w:val="00D25240"/>
    <w:rsid w:val="00D263F7"/>
    <w:rsid w:val="00D32A01"/>
    <w:rsid w:val="00D33A2F"/>
    <w:rsid w:val="00D34971"/>
    <w:rsid w:val="00D508A1"/>
    <w:rsid w:val="00D6533C"/>
    <w:rsid w:val="00D654D6"/>
    <w:rsid w:val="00D84FD8"/>
    <w:rsid w:val="00D9644A"/>
    <w:rsid w:val="00DB18B1"/>
    <w:rsid w:val="00DC29B1"/>
    <w:rsid w:val="00DC4648"/>
    <w:rsid w:val="00DD1246"/>
    <w:rsid w:val="00E00927"/>
    <w:rsid w:val="00E00AE9"/>
    <w:rsid w:val="00E16CC0"/>
    <w:rsid w:val="00E27622"/>
    <w:rsid w:val="00E61ACA"/>
    <w:rsid w:val="00E81675"/>
    <w:rsid w:val="00E82BF3"/>
    <w:rsid w:val="00EA5CBA"/>
    <w:rsid w:val="00EA761E"/>
    <w:rsid w:val="00EB2CF2"/>
    <w:rsid w:val="00EB3B38"/>
    <w:rsid w:val="00EB7134"/>
    <w:rsid w:val="00EC5EC1"/>
    <w:rsid w:val="00ED6251"/>
    <w:rsid w:val="00EE564F"/>
    <w:rsid w:val="00F14859"/>
    <w:rsid w:val="00F16B50"/>
    <w:rsid w:val="00F26522"/>
    <w:rsid w:val="00F34CFE"/>
    <w:rsid w:val="00F55476"/>
    <w:rsid w:val="00F662FA"/>
    <w:rsid w:val="00FA5AFB"/>
    <w:rsid w:val="00FA792A"/>
    <w:rsid w:val="00FB2DBC"/>
    <w:rsid w:val="00FC3FF7"/>
    <w:rsid w:val="00FC41F1"/>
    <w:rsid w:val="00FC71B3"/>
    <w:rsid w:val="00FD1B10"/>
    <w:rsid w:val="00FE1C7A"/>
    <w:rsid w:val="04907AB0"/>
    <w:rsid w:val="0A127C52"/>
    <w:rsid w:val="194550AD"/>
    <w:rsid w:val="22253A38"/>
    <w:rsid w:val="305628E3"/>
    <w:rsid w:val="4EE95833"/>
    <w:rsid w:val="56325B5A"/>
    <w:rsid w:val="61644936"/>
    <w:rsid w:val="6A83365F"/>
    <w:rsid w:val="6AEB58F2"/>
    <w:rsid w:val="6D8E753D"/>
    <w:rsid w:val="7BE622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5">
    <w:name w:val="Plain Text"/>
    <w:basedOn w:val="1"/>
    <w:uiPriority w:val="0"/>
    <w:rPr>
      <w:rFonts w:ascii="宋体" w:hAnsi="Courier New" w:cs="Courier New"/>
      <w:szCs w:val="21"/>
    </w:r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99"/>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22"/>
    <w:rPr>
      <w:b/>
      <w:bCs/>
    </w:rPr>
  </w:style>
  <w:style w:type="character" w:styleId="13">
    <w:name w:val="page number"/>
    <w:basedOn w:val="11"/>
    <w:qFormat/>
    <w:uiPriority w:val="0"/>
  </w:style>
  <w:style w:type="character" w:styleId="14">
    <w:name w:val="Hyperlink"/>
    <w:basedOn w:val="11"/>
    <w:qFormat/>
    <w:uiPriority w:val="0"/>
    <w:rPr>
      <w:color w:val="000000"/>
      <w:u w:val="none"/>
    </w:rPr>
  </w:style>
  <w:style w:type="character" w:customStyle="1" w:styleId="15">
    <w:name w:val="lemmatitleh11"/>
    <w:basedOn w:val="11"/>
    <w:qFormat/>
    <w:uiPriority w:val="0"/>
  </w:style>
  <w:style w:type="character" w:customStyle="1" w:styleId="16">
    <w:name w:val="hei141"/>
    <w:basedOn w:val="11"/>
    <w:qFormat/>
    <w:uiPriority w:val="0"/>
    <w:rPr>
      <w:rFonts w:hint="eastAsia" w:ascii="宋体" w:hAnsi="宋体" w:eastAsia="宋体"/>
      <w:color w:val="000000"/>
      <w:sz w:val="21"/>
      <w:szCs w:val="21"/>
      <w:u w:val="none"/>
    </w:rPr>
  </w:style>
  <w:style w:type="character" w:customStyle="1" w:styleId="17">
    <w:name w:val="页眉 Char"/>
    <w:basedOn w:val="11"/>
    <w:link w:val="8"/>
    <w:qFormat/>
    <w:uiPriority w:val="0"/>
    <w:rPr>
      <w:kern w:val="2"/>
      <w:sz w:val="18"/>
      <w:szCs w:val="18"/>
    </w:rPr>
  </w:style>
  <w:style w:type="character" w:customStyle="1" w:styleId="18">
    <w:name w:val="标题 1 Char"/>
    <w:basedOn w:val="11"/>
    <w:link w:val="2"/>
    <w:qFormat/>
    <w:uiPriority w:val="9"/>
    <w:rPr>
      <w:rFonts w:ascii="宋体" w:hAnsi="宋体" w:cs="宋体"/>
      <w:b/>
      <w:bCs/>
      <w:kern w:val="36"/>
      <w:sz w:val="48"/>
      <w:szCs w:val="48"/>
    </w:rPr>
  </w:style>
  <w:style w:type="paragraph" w:styleId="1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3089</Words>
  <Characters>17613</Characters>
  <Lines>146</Lines>
  <Paragraphs>41</Paragraphs>
  <TotalTime>2</TotalTime>
  <ScaleCrop>false</ScaleCrop>
  <LinksUpToDate>false</LinksUpToDate>
  <CharactersWithSpaces>20661</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2016-01-18T09:57:00Z</dcterms:created>
  <dc:creator>微软用户</dc:creator>
  <cp:lastModifiedBy>admin</cp:lastModifiedBy>
  <cp:lastPrinted>2010-11-01T01:58:00Z</cp:lastPrinted>
  <dcterms:modified xsi:type="dcterms:W3CDTF">2019-04-08T03:17:16Z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