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pPr>
      <w:r>
        <w:rPr>
          <w:rFonts w:hint="eastAsia" w:asciiTheme="minorEastAsia" w:hAnsiTheme="minorEastAsia" w:cstheme="minorEastAsia"/>
          <w:sz w:val="28"/>
          <w:szCs w:val="28"/>
        </w:rPr>
        <w:drawing>
          <wp:anchor distT="0" distB="0" distL="114300" distR="114300" simplePos="0" relativeHeight="251659264" behindDoc="0" locked="0" layoutInCell="1" allowOverlap="1">
            <wp:simplePos x="0" y="0"/>
            <wp:positionH relativeFrom="column">
              <wp:posOffset>20320</wp:posOffset>
            </wp:positionH>
            <wp:positionV relativeFrom="paragraph">
              <wp:posOffset>182880</wp:posOffset>
            </wp:positionV>
            <wp:extent cx="3127375" cy="648335"/>
            <wp:effectExtent l="0" t="0" r="12065" b="6985"/>
            <wp:wrapNone/>
            <wp:docPr id="2" name="图片 1"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_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127375" cy="648335"/>
                    </a:xfrm>
                    <a:prstGeom prst="rect">
                      <a:avLst/>
                    </a:prstGeom>
                  </pic:spPr>
                </pic:pic>
              </a:graphicData>
            </a:graphic>
          </wp:anchor>
        </w:drawing>
      </w:r>
    </w:p>
    <w:p>
      <w:pPr>
        <w:jc w:val="both"/>
      </w:pPr>
    </w:p>
    <w:p>
      <w:pPr>
        <w:jc w:val="both"/>
      </w:pPr>
    </w:p>
    <w:p>
      <w:pPr>
        <w:jc w:val="both"/>
      </w:pPr>
    </w:p>
    <w:p>
      <w:pPr>
        <w:jc w:val="both"/>
      </w:pPr>
    </w:p>
    <w:p>
      <w:pPr>
        <w:jc w:val="both"/>
        <w:rPr>
          <w:sz w:val="48"/>
          <w:szCs w:val="48"/>
        </w:rPr>
      </w:pPr>
    </w:p>
    <w:p>
      <w:pPr>
        <w:jc w:val="both"/>
        <w:rPr>
          <w:sz w:val="48"/>
          <w:szCs w:val="48"/>
        </w:rPr>
      </w:pPr>
    </w:p>
    <w:p>
      <w:pPr>
        <w:jc w:val="both"/>
        <w:rPr>
          <w:sz w:val="48"/>
          <w:szCs w:val="48"/>
        </w:rPr>
      </w:pPr>
    </w:p>
    <w:p>
      <w:pPr>
        <w:jc w:val="both"/>
        <w:rPr>
          <w:rFonts w:ascii="黑体" w:hAnsi="黑体" w:eastAsia="黑体" w:cs="黑体"/>
          <w:sz w:val="52"/>
          <w:szCs w:val="52"/>
        </w:rPr>
      </w:pPr>
    </w:p>
    <w:p>
      <w:pPr>
        <w:widowControl w:val="0"/>
        <w:spacing w:line="480" w:lineRule="auto"/>
        <w:jc w:val="center"/>
        <w:rPr>
          <w:rFonts w:ascii="方正小标宋简体" w:hAnsi="楷体" w:eastAsia="方正小标宋简体" w:cs="楷体"/>
          <w:b/>
          <w:bCs/>
          <w:kern w:val="2"/>
          <w:sz w:val="58"/>
          <w:szCs w:val="58"/>
        </w:rPr>
      </w:pPr>
      <w:r>
        <w:rPr>
          <w:rFonts w:hint="eastAsia" w:ascii="方正小标宋简体" w:hAnsi="楷体" w:eastAsia="方正小标宋简体" w:cs="楷体"/>
          <w:b/>
          <w:bCs/>
          <w:kern w:val="2"/>
          <w:sz w:val="58"/>
          <w:szCs w:val="58"/>
        </w:rPr>
        <w:t>适应社会需求能力自评报告</w:t>
      </w: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562" w:firstLineChars="200"/>
        <w:jc w:val="center"/>
        <w:rPr>
          <w:rFonts w:asciiTheme="minorEastAsia" w:hAnsiTheme="minorEastAsia" w:eastAsiaTheme="minorEastAsia" w:cstheme="minorEastAsia"/>
          <w:color w:val="000000"/>
        </w:rPr>
      </w:pPr>
      <w:r>
        <w:rPr>
          <w:rFonts w:hint="eastAsia" w:ascii="仿宋" w:hAnsi="仿宋" w:eastAsia="仿宋" w:cstheme="minorEastAsia"/>
          <w:b/>
          <w:bCs/>
          <w:sz w:val="28"/>
          <w:szCs w:val="28"/>
        </w:rPr>
        <w:t>二〇一八年九月</w:t>
      </w:r>
    </w:p>
    <w:p>
      <w:pPr>
        <w:tabs>
          <w:tab w:val="left" w:pos="3174"/>
        </w:tabs>
        <w:spacing w:line="440" w:lineRule="exact"/>
        <w:ind w:firstLine="480" w:firstLineChars="200"/>
        <w:jc w:val="both"/>
        <w:rPr>
          <w:rFonts w:asciiTheme="minorEastAsia" w:hAnsiTheme="minorEastAsia" w:eastAsiaTheme="minorEastAsia" w:cstheme="minorEastAsia"/>
          <w:color w:val="000000"/>
        </w:rPr>
      </w:pPr>
    </w:p>
    <w:p>
      <w:pPr>
        <w:tabs>
          <w:tab w:val="left" w:pos="3174"/>
        </w:tabs>
        <w:spacing w:line="440" w:lineRule="exact"/>
        <w:ind w:firstLine="480" w:firstLineChars="200"/>
        <w:jc w:val="both"/>
        <w:rPr>
          <w:rFonts w:asciiTheme="minorEastAsia" w:hAnsiTheme="minorEastAsia" w:eastAsiaTheme="minorEastAsia" w:cstheme="minorEastAsia"/>
          <w:color w:val="000000"/>
        </w:rPr>
        <w:sectPr>
          <w:pgSz w:w="11906" w:h="16838"/>
          <w:pgMar w:top="1440" w:right="1800" w:bottom="1440" w:left="1800" w:header="851" w:footer="992" w:gutter="0"/>
          <w:pgNumType w:start="1"/>
          <w:cols w:space="425" w:num="1"/>
          <w:docGrid w:type="lines" w:linePitch="312" w:charSpace="0"/>
        </w:sectPr>
      </w:pP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根据《国务院教育督导委员会办公室关于开展2018年全国职业院校评估工作的通知》（国教督办〔2018〕17号）、《江苏省教育厅关于做好2018年高等职业院校适应社会需求能力评估工作的通知》（苏教高函〔2018〕18号）文件要求，成立我校适应社会需求能力自评工作组，由教学院长牵头,相关部门参与组织实施，认真学习,准确把握各项指标的内涵和要求，逐一进行任务分解,按期完成学校问卷调研、数据采集上报和自我分析评价工作，形成自评报告。</w:t>
      </w:r>
    </w:p>
    <w:p>
      <w:pPr>
        <w:widowControl w:val="0"/>
        <w:adjustRightInd w:val="0"/>
        <w:snapToGrid w:val="0"/>
        <w:spacing w:line="480" w:lineRule="exact"/>
        <w:ind w:firstLine="562" w:firstLineChars="200"/>
        <w:jc w:val="both"/>
        <w:rPr>
          <w:rFonts w:asciiTheme="minorEastAsia" w:hAnsiTheme="minorEastAsia" w:eastAsiaTheme="minorEastAsia" w:cstheme="minorEastAsia"/>
          <w:b/>
          <w:bCs/>
          <w:color w:val="000000"/>
          <w:kern w:val="2"/>
          <w:sz w:val="28"/>
          <w:szCs w:val="28"/>
        </w:rPr>
      </w:pPr>
      <w:r>
        <w:rPr>
          <w:rFonts w:hint="eastAsia" w:asciiTheme="minorEastAsia" w:hAnsiTheme="minorEastAsia" w:eastAsiaTheme="minorEastAsia" w:cstheme="minorEastAsia"/>
          <w:b/>
          <w:bCs/>
          <w:color w:val="000000"/>
          <w:kern w:val="2"/>
          <w:sz w:val="28"/>
          <w:szCs w:val="28"/>
        </w:rPr>
        <w:t>一、学校概况</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江苏医药职业学院是省卫生计生委直属全日制公办专科层次普通高等学校，是江苏省示范性高职院校建设单位和省市三方共建学校。学校现有解放、建军两个校区，占地面积694亩，建筑面积25.4万平方米，固定资产总值超6亿元。教师在教育部行业教学指导委员会担任委员2人，在省级以上各类学会、协会、委员会担任职务近50人（次）。目前，学校建成国家健康示范点专业2个，省高水平骨干专业5个；省级产教深度融合实训平台项目2个；联合主持国家级教学资源库2项，获省级教学成果奖4项。</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依托中国职教学会卫生专业委员会主任委员单位和全国康复治疗类专业教学指导委员会主任委员单位，牵头组织召开全国卫生职业院校高层次研讨会、举办全国卫生职业技能大赛等，引领全国卫生职业院校教育改革与实践。学校为全国医药卫生职业教育联盟发起单位和主席团单位、江苏省医药职教集团副理事长单位和教学工作委员会主任委员单位、江苏省卫生高职院校教学协作会牵头单位，在卫生职教行业具有一定影响力和领导力。</w:t>
      </w:r>
    </w:p>
    <w:p>
      <w:pPr>
        <w:widowControl w:val="0"/>
        <w:adjustRightInd w:val="0"/>
        <w:snapToGrid w:val="0"/>
        <w:spacing w:line="480" w:lineRule="exact"/>
        <w:ind w:firstLine="562" w:firstLineChars="200"/>
        <w:jc w:val="both"/>
        <w:rPr>
          <w:rFonts w:asciiTheme="minorEastAsia" w:hAnsiTheme="minorEastAsia" w:eastAsiaTheme="minorEastAsia" w:cstheme="minorEastAsia"/>
          <w:b/>
          <w:bCs/>
          <w:color w:val="000000"/>
          <w:kern w:val="2"/>
          <w:sz w:val="28"/>
          <w:szCs w:val="28"/>
        </w:rPr>
      </w:pPr>
      <w:r>
        <w:rPr>
          <w:rFonts w:hint="eastAsia" w:asciiTheme="minorEastAsia" w:hAnsiTheme="minorEastAsia" w:eastAsiaTheme="minorEastAsia" w:cstheme="minorEastAsia"/>
          <w:b/>
          <w:bCs/>
          <w:color w:val="000000"/>
          <w:kern w:val="2"/>
          <w:sz w:val="28"/>
          <w:szCs w:val="28"/>
        </w:rPr>
        <w:t>二、学校声誉及第三方社会评价</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以“立德树人”为根本，不断深化教育综合改革，推进质量内涵建设,社会服务能力有效提升，示范辐射作用不断增强，师生获得感明显，学校的社会美誉度进一步提升。2017年在12月中国高等教育学会首次公布的《中国高校创新人才培养暨学科竞赛评估结果（高职）》排行榜中，我校位居全国卫生类高职院校第1名。在武汉大学中国教育质量评价中心所公布的近三年《中国专科（高职高专）院校竞争力排行榜》中，我校排名持续上升，从383名到315，再到今年的271名，两年提升112个名次，现位列全国卫生类高职院校第11名，成为江苏省唯一一所四星级卫生类高职院校。</w:t>
      </w:r>
    </w:p>
    <w:p>
      <w:pPr>
        <w:tabs>
          <w:tab w:val="left" w:pos="3174"/>
        </w:tabs>
        <w:spacing w:line="440" w:lineRule="exact"/>
        <w:ind w:firstLine="551" w:firstLineChars="196"/>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sz w:val="28"/>
          <w:szCs w:val="28"/>
        </w:rPr>
        <w:t>三、适应社会需求能力分项自评</w:t>
      </w:r>
    </w:p>
    <w:p>
      <w:pPr>
        <w:spacing w:line="480" w:lineRule="exact"/>
        <w:ind w:firstLine="413" w:firstLineChars="147"/>
        <w:jc w:val="both"/>
        <w:rPr>
          <w:b/>
          <w:bCs/>
          <w:sz w:val="28"/>
          <w:szCs w:val="28"/>
        </w:rPr>
      </w:pPr>
      <w:r>
        <w:rPr>
          <w:rFonts w:hint="eastAsia"/>
          <w:b/>
          <w:bCs/>
          <w:sz w:val="28"/>
          <w:szCs w:val="28"/>
        </w:rPr>
        <w:t>（一）办学基础能力</w:t>
      </w:r>
    </w:p>
    <w:p>
      <w:pPr>
        <w:spacing w:line="440" w:lineRule="exact"/>
        <w:ind w:firstLine="562" w:firstLineChars="200"/>
        <w:jc w:val="both"/>
        <w:rPr>
          <w:rFonts w:ascii="Times New Roman" w:hAnsi="Times New Roman" w:cs="Times New Roman"/>
          <w:b/>
          <w:bCs/>
          <w:sz w:val="28"/>
          <w:szCs w:val="28"/>
          <w:lang w:val="zh-TW"/>
        </w:rPr>
      </w:pPr>
      <w:r>
        <w:rPr>
          <w:rFonts w:hint="eastAsia" w:ascii="Times New Roman" w:hAnsi="Times New Roman" w:cs="Times New Roman"/>
          <w:b/>
          <w:bCs/>
          <w:sz w:val="28"/>
          <w:szCs w:val="28"/>
          <w:lang w:val="zh-TW"/>
        </w:rPr>
        <w:t>1.办学基础能力关键指标</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随着政府对高等职业教育拨款水平呈逐年递增，学校不断增加办学投入，优化办学基础能力（表1）。2017年我校主动争取国家、省市政策项目和资金资助共20余项，总计金额达2829万余元，2个江苏省产教深度融合实训平台立项建设项目累计投入建设经费超过800万元，5个专业获批江苏省骨干专业建设，学校累计投入超过200万元。2017年中央、地方财政专项对我校生均投入2639.35元，高出全省均值303.26元；生均教学仪器设备值高出全国中位数7000余元，生均教学及辅助、办公用房面积高于同类院校中位数3.39平方米/生；生师比一直保持优良水平。办学基础能力建设和提升切实保障了师生生活学习、创新创业，以及学校教科研和发展需要。</w:t>
      </w:r>
    </w:p>
    <w:p>
      <w:pPr>
        <w:spacing w:beforeLines="50" w:line="48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表1 2016-2017年办学基础能力关键指标值</w:t>
      </w:r>
    </w:p>
    <w:tbl>
      <w:tblPr>
        <w:tblStyle w:val="7"/>
        <w:tblW w:w="8522" w:type="dxa"/>
        <w:jc w:val="center"/>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5257"/>
        <w:gridCol w:w="1222"/>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758" w:type="dxa"/>
            <w:shd w:val="clear" w:color="auto" w:fill="auto"/>
            <w:vAlign w:val="center"/>
          </w:tcPr>
          <w:p>
            <w:pPr>
              <w:widowControl w:val="0"/>
              <w:spacing w:beforeLines="5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序号</w:t>
            </w:r>
          </w:p>
        </w:tc>
        <w:tc>
          <w:tcPr>
            <w:tcW w:w="5257" w:type="dxa"/>
            <w:shd w:val="clear" w:color="auto" w:fill="auto"/>
            <w:vAlign w:val="center"/>
          </w:tcPr>
          <w:p>
            <w:pPr>
              <w:widowControl w:val="0"/>
              <w:spacing w:beforeLines="50"/>
              <w:jc w:val="center"/>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b/>
                <w:bCs/>
                <w:sz w:val="21"/>
                <w:szCs w:val="21"/>
              </w:rPr>
              <w:t>指标</w:t>
            </w:r>
          </w:p>
        </w:tc>
        <w:tc>
          <w:tcPr>
            <w:tcW w:w="1222" w:type="dxa"/>
            <w:shd w:val="clear" w:color="auto" w:fill="auto"/>
            <w:vAlign w:val="center"/>
          </w:tcPr>
          <w:p>
            <w:pPr>
              <w:widowControl w:val="0"/>
              <w:spacing w:beforeLines="50"/>
              <w:jc w:val="center"/>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2016</w:t>
            </w:r>
          </w:p>
        </w:tc>
        <w:tc>
          <w:tcPr>
            <w:tcW w:w="1285" w:type="dxa"/>
            <w:shd w:val="clear" w:color="auto" w:fill="auto"/>
            <w:vAlign w:val="center"/>
          </w:tcPr>
          <w:p>
            <w:pPr>
              <w:widowControl w:val="0"/>
              <w:spacing w:beforeLines="50"/>
              <w:jc w:val="center"/>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758" w:type="dxa"/>
            <w:vAlign w:val="center"/>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5257" w:type="dxa"/>
            <w:vAlign w:val="center"/>
          </w:tcPr>
          <w:p>
            <w:pPr>
              <w:widowControl w:val="0"/>
              <w:spacing w:beforeLines="50"/>
              <w:jc w:val="left"/>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sz w:val="21"/>
                <w:szCs w:val="21"/>
              </w:rPr>
              <w:t>年生均财政拨款水平（元）</w:t>
            </w:r>
          </w:p>
        </w:tc>
        <w:tc>
          <w:tcPr>
            <w:tcW w:w="1222" w:type="dxa"/>
            <w:vAlign w:val="center"/>
          </w:tcPr>
          <w:p>
            <w:pPr>
              <w:widowControl w:val="0"/>
              <w:spacing w:beforeLines="50"/>
              <w:jc w:val="righ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20880.00</w:t>
            </w:r>
          </w:p>
        </w:tc>
        <w:tc>
          <w:tcPr>
            <w:tcW w:w="1285" w:type="dxa"/>
            <w:vAlign w:val="center"/>
          </w:tcPr>
          <w:p>
            <w:pPr>
              <w:widowControl w:val="0"/>
              <w:spacing w:beforeLines="50"/>
              <w:jc w:val="righ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23155.00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8" w:type="dxa"/>
            <w:vAlign w:val="center"/>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w:t>
            </w:r>
          </w:p>
        </w:tc>
        <w:tc>
          <w:tcPr>
            <w:tcW w:w="5257" w:type="dxa"/>
            <w:vAlign w:val="center"/>
          </w:tcPr>
          <w:p>
            <w:pPr>
              <w:widowControl w:val="0"/>
              <w:spacing w:beforeLines="50"/>
              <w:jc w:val="left"/>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sz w:val="21"/>
                <w:szCs w:val="21"/>
              </w:rPr>
              <w:t>生均教学仪器设备值(元/生)</w:t>
            </w:r>
          </w:p>
        </w:tc>
        <w:tc>
          <w:tcPr>
            <w:tcW w:w="1222" w:type="dxa"/>
            <w:shd w:val="clear" w:color="auto" w:fill="auto"/>
            <w:vAlign w:val="center"/>
          </w:tcPr>
          <w:p>
            <w:pPr>
              <w:widowControl w:val="0"/>
              <w:spacing w:beforeLines="50"/>
              <w:jc w:val="righ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15295.28</w:t>
            </w:r>
          </w:p>
        </w:tc>
        <w:tc>
          <w:tcPr>
            <w:tcW w:w="1285" w:type="dxa"/>
            <w:shd w:val="clear" w:color="auto" w:fill="auto"/>
            <w:vAlign w:val="center"/>
          </w:tcPr>
          <w:p>
            <w:pPr>
              <w:widowControl w:val="0"/>
              <w:spacing w:beforeLines="50"/>
              <w:jc w:val="righ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16314.41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8" w:type="dxa"/>
            <w:vAlign w:val="center"/>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w:t>
            </w:r>
          </w:p>
        </w:tc>
        <w:tc>
          <w:tcPr>
            <w:tcW w:w="5257" w:type="dxa"/>
            <w:vAlign w:val="center"/>
          </w:tcPr>
          <w:p>
            <w:pPr>
              <w:pStyle w:val="4"/>
              <w:widowControl/>
              <w:spacing w:beforeLines="50" w:beforeAutospacing="0" w:after="0" w:afterAutospacing="0"/>
              <w:jc w:val="left"/>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sz w:val="21"/>
                <w:szCs w:val="21"/>
              </w:rPr>
              <w:t>生均教学及辅助、行政办公用房(平方米/生)</w:t>
            </w:r>
          </w:p>
        </w:tc>
        <w:tc>
          <w:tcPr>
            <w:tcW w:w="1222" w:type="dxa"/>
            <w:shd w:val="clear" w:color="auto" w:fill="auto"/>
            <w:vAlign w:val="center"/>
          </w:tcPr>
          <w:p>
            <w:pPr>
              <w:widowControl w:val="0"/>
              <w:spacing w:beforeLines="50"/>
              <w:jc w:val="righ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24.13</w:t>
            </w:r>
          </w:p>
        </w:tc>
        <w:tc>
          <w:tcPr>
            <w:tcW w:w="1285" w:type="dxa"/>
            <w:shd w:val="clear" w:color="auto" w:fill="auto"/>
            <w:vAlign w:val="center"/>
          </w:tcPr>
          <w:p>
            <w:pPr>
              <w:widowControl w:val="0"/>
              <w:spacing w:beforeLines="50"/>
              <w:jc w:val="righ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758" w:type="dxa"/>
            <w:vAlign w:val="center"/>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w:t>
            </w:r>
          </w:p>
        </w:tc>
        <w:tc>
          <w:tcPr>
            <w:tcW w:w="5257" w:type="dxa"/>
            <w:vAlign w:val="center"/>
          </w:tcPr>
          <w:p>
            <w:pPr>
              <w:widowControl w:val="0"/>
              <w:spacing w:beforeLines="50"/>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生均校内实践教学工位数（个）</w:t>
            </w:r>
          </w:p>
        </w:tc>
        <w:tc>
          <w:tcPr>
            <w:tcW w:w="1222" w:type="dxa"/>
            <w:shd w:val="clear" w:color="auto" w:fill="auto"/>
            <w:vAlign w:val="center"/>
          </w:tcPr>
          <w:p>
            <w:pPr>
              <w:widowControl w:val="0"/>
              <w:spacing w:beforeLines="50"/>
              <w:jc w:val="righ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0.68</w:t>
            </w:r>
          </w:p>
        </w:tc>
        <w:tc>
          <w:tcPr>
            <w:tcW w:w="1285" w:type="dxa"/>
            <w:shd w:val="clear" w:color="auto" w:fill="auto"/>
            <w:vAlign w:val="center"/>
          </w:tcPr>
          <w:p>
            <w:pPr>
              <w:widowControl w:val="0"/>
              <w:spacing w:beforeLines="50"/>
              <w:jc w:val="righ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8" w:type="dxa"/>
            <w:vAlign w:val="center"/>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w:t>
            </w:r>
          </w:p>
        </w:tc>
        <w:tc>
          <w:tcPr>
            <w:tcW w:w="5257" w:type="dxa"/>
            <w:vAlign w:val="center"/>
          </w:tcPr>
          <w:p>
            <w:pPr>
              <w:widowControl w:val="0"/>
              <w:spacing w:beforeLines="50"/>
              <w:jc w:val="left"/>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sz w:val="21"/>
                <w:szCs w:val="21"/>
              </w:rPr>
              <w:t>生师比</w:t>
            </w:r>
          </w:p>
        </w:tc>
        <w:tc>
          <w:tcPr>
            <w:tcW w:w="1222" w:type="dxa"/>
            <w:shd w:val="clear" w:color="auto" w:fill="auto"/>
            <w:vAlign w:val="center"/>
          </w:tcPr>
          <w:p>
            <w:pPr>
              <w:widowControl w:val="0"/>
              <w:spacing w:beforeLines="50"/>
              <w:jc w:val="righ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12.89</w:t>
            </w:r>
          </w:p>
        </w:tc>
        <w:tc>
          <w:tcPr>
            <w:tcW w:w="1285" w:type="dxa"/>
            <w:shd w:val="clear" w:color="auto" w:fill="auto"/>
            <w:vAlign w:val="center"/>
          </w:tcPr>
          <w:p>
            <w:pPr>
              <w:widowControl w:val="0"/>
              <w:spacing w:beforeLines="50"/>
              <w:jc w:val="righ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10.75</w:t>
            </w:r>
          </w:p>
        </w:tc>
      </w:tr>
    </w:tbl>
    <w:p>
      <w:pPr>
        <w:spacing w:line="440" w:lineRule="exact"/>
        <w:ind w:firstLine="562" w:firstLineChars="200"/>
        <w:jc w:val="both"/>
        <w:rPr>
          <w:rFonts w:ascii="Times New Roman" w:hAnsi="Times New Roman" w:cs="Times New Roman"/>
          <w:b/>
          <w:bCs/>
          <w:sz w:val="28"/>
          <w:szCs w:val="28"/>
        </w:rPr>
      </w:pPr>
      <w:r>
        <w:rPr>
          <w:rFonts w:hint="eastAsia" w:ascii="Times New Roman" w:hAnsi="Times New Roman" w:cs="Times New Roman"/>
          <w:b/>
          <w:bCs/>
          <w:sz w:val="28"/>
          <w:szCs w:val="28"/>
        </w:rPr>
        <w:t>2.信息化教学条件</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目前，学校接入互联网出口带宽1210Mbps，网络信息点数4245个，教学用终端（计算机）数1025台，上网课程数232门，数字资源量3149GB，网络多媒体教室100间，含35间智慧教室，高于同类院校和全国院校平均值。近年来，学校大力加强校园信息化建设，不断引进业务子系统，包括人事管理子系统、教务管理子系统、学生工作管理子系统、一卡通管理子系统等，提升信息化管理和教学水平，满足学校科学化、精细化管理需要。</w:t>
      </w:r>
    </w:p>
    <w:p>
      <w:pPr>
        <w:numPr>
          <w:ilvl w:val="0"/>
          <w:numId w:val="1"/>
        </w:numPr>
        <w:spacing w:beforeLines="50" w:line="400" w:lineRule="exact"/>
        <w:jc w:val="both"/>
        <w:rPr>
          <w:b/>
          <w:bCs/>
          <w:sz w:val="28"/>
          <w:szCs w:val="28"/>
        </w:rPr>
      </w:pPr>
      <w:r>
        <w:rPr>
          <w:rFonts w:hint="eastAsia"/>
          <w:b/>
          <w:sz w:val="28"/>
          <w:szCs w:val="28"/>
        </w:rPr>
        <w:t>“双师”</w:t>
      </w:r>
      <w:r>
        <w:rPr>
          <w:rFonts w:hint="eastAsia"/>
          <w:b/>
          <w:bCs/>
          <w:sz w:val="28"/>
          <w:szCs w:val="28"/>
        </w:rPr>
        <w:t>队伍水平</w:t>
      </w:r>
    </w:p>
    <w:p>
      <w:pPr>
        <w:spacing w:line="440" w:lineRule="exact"/>
        <w:ind w:firstLine="562" w:firstLineChars="200"/>
        <w:jc w:val="both"/>
        <w:rPr>
          <w:rFonts w:ascii="Times New Roman" w:cs="Times New Roman"/>
          <w:b/>
          <w:bCs/>
          <w:sz w:val="28"/>
          <w:szCs w:val="28"/>
        </w:rPr>
      </w:pPr>
      <w:r>
        <w:rPr>
          <w:rFonts w:hint="eastAsia" w:ascii="Times New Roman" w:cs="Times New Roman"/>
          <w:b/>
          <w:bCs/>
          <w:sz w:val="28"/>
          <w:szCs w:val="28"/>
        </w:rPr>
        <w:t>1.教师队伍建设</w:t>
      </w:r>
    </w:p>
    <w:p>
      <w:pPr>
        <w:widowControl w:val="0"/>
        <w:adjustRightInd w:val="0"/>
        <w:snapToGrid w:val="0"/>
        <w:spacing w:line="480" w:lineRule="exact"/>
        <w:ind w:firstLine="560" w:firstLineChars="200"/>
        <w:jc w:val="both"/>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现有教职工437人，专任教师341人，专业教师255人，职称结构如下图（图1）。为促进专业团队建设，学校制定了《校外专业带头人选拔、聘用与管理规定》，明确校外专业带头人选拔标准，完善双专业带头人制度，聘请9名校外行业专家担任兼职专业带头人。学校通过内培外引不断壮大学校骨干教师队伍，引进博士7人，硕士研究生66人，柔性引进境内外知名专家近30人担任我校客座教授、兼职教授、产业教授。同时，选派骨干教师90人次赴境外研修、110人次参加国培、省培项目；依托《优秀中青年教师支持计划》，培养了中青年专业带头人培养对象14名、优秀青年骨干教师36名，遴选教学新秀10名。支持青年教师学历提升。通过在职学习，6人取得博士学位，在职攻读博士7人，专任青年教师45岁以下研究生以上学历教师194人，占比72.93%，高出同类院校21.23%，高出全省水平12.42%（图2）。</w:t>
      </w:r>
    </w:p>
    <w:p>
      <w:pPr>
        <w:widowControl w:val="0"/>
        <w:adjustRightInd w:val="0"/>
        <w:snapToGrid w:val="0"/>
        <w:spacing w:line="480" w:lineRule="exact"/>
        <w:ind w:firstLine="560" w:firstLineChars="200"/>
        <w:jc w:val="both"/>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2017年学校教师获江苏省青蓝工程中青年学术带头人1名、优秀青年骨干教师2名。近两年，我校获得省级各类教学技能比赛一等3项，二等奖18项，三等奖16项；国家级（含行指委）一等3项，二等奖3项，三等奖6项；特别值得一提的是：我校周滋霞、梁娟两位老师在2017年全国卫生行指委举办的全国职业院校护理教师教学能力大赛中双获一等奖，充分展示了我校青年教师的风采。</w:t>
      </w:r>
    </w:p>
    <w:p>
      <w:pPr>
        <w:widowControl w:val="0"/>
        <w:adjustRightInd w:val="0"/>
        <w:snapToGrid w:val="0"/>
        <w:spacing w:line="480" w:lineRule="exact"/>
        <w:jc w:val="both"/>
        <w:rPr>
          <w:rFonts w:hint="eastAsia" w:asciiTheme="minorEastAsia" w:hAnsiTheme="minorEastAsia" w:eastAsiaTheme="minorEastAsia" w:cstheme="minorEastAsia"/>
          <w:color w:val="000000"/>
          <w:kern w:val="2"/>
          <w:sz w:val="28"/>
          <w:szCs w:val="28"/>
        </w:rPr>
      </w:pPr>
    </w:p>
    <w:p>
      <w:pPr>
        <w:widowControl w:val="0"/>
        <w:adjustRightInd w:val="0"/>
        <w:snapToGrid w:val="0"/>
        <w:spacing w:line="480" w:lineRule="exact"/>
        <w:jc w:val="both"/>
        <w:rPr>
          <w:rFonts w:hint="eastAsia" w:asciiTheme="minorEastAsia" w:hAnsiTheme="minorEastAsia" w:eastAsiaTheme="minorEastAsia" w:cstheme="minorEastAsia"/>
          <w:color w:val="000000"/>
          <w:kern w:val="2"/>
          <w:sz w:val="28"/>
          <w:szCs w:val="28"/>
        </w:rPr>
      </w:pPr>
    </w:p>
    <w:p>
      <w:pPr>
        <w:widowControl w:val="0"/>
        <w:adjustRightInd w:val="0"/>
        <w:snapToGrid w:val="0"/>
        <w:spacing w:line="480" w:lineRule="exact"/>
        <w:jc w:val="both"/>
        <w:rPr>
          <w:rFonts w:hint="eastAsia" w:asciiTheme="minorEastAsia" w:hAnsiTheme="minorEastAsia" w:eastAsiaTheme="minorEastAsia" w:cstheme="minorEastAsia"/>
          <w:color w:val="000000"/>
          <w:kern w:val="2"/>
          <w:sz w:val="28"/>
          <w:szCs w:val="28"/>
        </w:rPr>
      </w:pPr>
    </w:p>
    <w:p>
      <w:pPr>
        <w:widowControl w:val="0"/>
        <w:adjustRightInd w:val="0"/>
        <w:snapToGrid w:val="0"/>
        <w:spacing w:line="480" w:lineRule="exact"/>
        <w:jc w:val="both"/>
        <w:rPr>
          <w:rFonts w:hint="eastAsia" w:asciiTheme="minorEastAsia" w:hAnsiTheme="minorEastAsia" w:eastAsiaTheme="minorEastAsia" w:cstheme="minorEastAsia"/>
          <w:color w:val="000000"/>
          <w:kern w:val="2"/>
          <w:sz w:val="28"/>
          <w:szCs w:val="28"/>
        </w:rPr>
      </w:pPr>
    </w:p>
    <w:p>
      <w:pPr>
        <w:spacing w:beforeLines="50" w:line="48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图1 校内专任教师职称结构</w:t>
      </w:r>
    </w:p>
    <w:p>
      <w:pPr>
        <w:widowControl w:val="0"/>
        <w:adjustRightInd w:val="0"/>
        <w:snapToGrid w:val="0"/>
        <w:spacing w:line="480" w:lineRule="exact"/>
        <w:jc w:val="both"/>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drawing>
          <wp:anchor distT="0" distB="0" distL="114300" distR="114300" simplePos="0" relativeHeight="251661312" behindDoc="0" locked="0" layoutInCell="1" allowOverlap="1">
            <wp:simplePos x="0" y="0"/>
            <wp:positionH relativeFrom="column">
              <wp:posOffset>895350</wp:posOffset>
            </wp:positionH>
            <wp:positionV relativeFrom="paragraph">
              <wp:posOffset>38100</wp:posOffset>
            </wp:positionV>
            <wp:extent cx="3933825" cy="1371600"/>
            <wp:effectExtent l="19050" t="0" r="9525" b="0"/>
            <wp:wrapSquare wrapText="bothSides"/>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widowControl w:val="0"/>
        <w:adjustRightInd w:val="0"/>
        <w:snapToGrid w:val="0"/>
        <w:spacing w:line="480" w:lineRule="exact"/>
        <w:jc w:val="both"/>
        <w:rPr>
          <w:rFonts w:hint="eastAsia" w:asciiTheme="minorEastAsia" w:hAnsiTheme="minorEastAsia" w:eastAsiaTheme="minorEastAsia" w:cstheme="minorEastAsia"/>
          <w:color w:val="000000"/>
          <w:kern w:val="2"/>
          <w:sz w:val="28"/>
          <w:szCs w:val="28"/>
        </w:rPr>
      </w:pPr>
    </w:p>
    <w:p>
      <w:pPr>
        <w:widowControl w:val="0"/>
        <w:adjustRightInd w:val="0"/>
        <w:snapToGrid w:val="0"/>
        <w:spacing w:line="480" w:lineRule="exact"/>
        <w:jc w:val="both"/>
        <w:rPr>
          <w:rFonts w:hint="eastAsia" w:asciiTheme="minorEastAsia" w:hAnsiTheme="minorEastAsia" w:eastAsiaTheme="minorEastAsia" w:cstheme="minorEastAsia"/>
          <w:color w:val="000000"/>
          <w:kern w:val="2"/>
          <w:sz w:val="28"/>
          <w:szCs w:val="28"/>
        </w:rPr>
      </w:pPr>
    </w:p>
    <w:p>
      <w:pPr>
        <w:widowControl w:val="0"/>
        <w:adjustRightInd w:val="0"/>
        <w:snapToGrid w:val="0"/>
        <w:spacing w:line="480" w:lineRule="exact"/>
        <w:jc w:val="both"/>
        <w:rPr>
          <w:rFonts w:hint="eastAsia" w:asciiTheme="minorEastAsia" w:hAnsiTheme="minorEastAsia" w:eastAsiaTheme="minorEastAsia" w:cstheme="minorEastAsia"/>
          <w:color w:val="000000"/>
          <w:kern w:val="2"/>
          <w:sz w:val="28"/>
          <w:szCs w:val="28"/>
        </w:rPr>
      </w:pPr>
    </w:p>
    <w:p>
      <w:pPr>
        <w:widowControl w:val="0"/>
        <w:adjustRightInd w:val="0"/>
        <w:snapToGrid w:val="0"/>
        <w:spacing w:line="480" w:lineRule="exact"/>
        <w:jc w:val="both"/>
        <w:rPr>
          <w:rFonts w:hint="eastAsia" w:asciiTheme="minorEastAsia" w:hAnsiTheme="minorEastAsia" w:eastAsiaTheme="minorEastAsia" w:cstheme="minorEastAsia"/>
          <w:color w:val="000000"/>
          <w:kern w:val="2"/>
          <w:sz w:val="28"/>
          <w:szCs w:val="28"/>
        </w:rPr>
      </w:pPr>
    </w:p>
    <w:p>
      <w:pPr>
        <w:spacing w:beforeLines="50" w:line="480" w:lineRule="exact"/>
        <w:jc w:val="center"/>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drawing>
          <wp:anchor distT="0" distB="0" distL="114300" distR="114300" simplePos="0" relativeHeight="251667456" behindDoc="0" locked="0" layoutInCell="1" allowOverlap="1">
            <wp:simplePos x="0" y="0"/>
            <wp:positionH relativeFrom="column">
              <wp:posOffset>361315</wp:posOffset>
            </wp:positionH>
            <wp:positionV relativeFrom="paragraph">
              <wp:posOffset>476250</wp:posOffset>
            </wp:positionV>
            <wp:extent cx="4772025" cy="1571625"/>
            <wp:effectExtent l="19050" t="0" r="9525" b="0"/>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heme="majorEastAsia" w:hAnsiTheme="majorEastAsia" w:eastAsiaTheme="majorEastAsia" w:cstheme="majorEastAsia"/>
          <w:b/>
        </w:rPr>
        <w:t>图2 专任青年教师45岁以下研究生以上学历教师比例（%）</w:t>
      </w:r>
    </w:p>
    <w:p>
      <w:pPr>
        <w:widowControl w:val="0"/>
        <w:adjustRightInd w:val="0"/>
        <w:snapToGrid w:val="0"/>
        <w:spacing w:line="480" w:lineRule="exact"/>
        <w:ind w:firstLine="562" w:firstLineChars="200"/>
        <w:jc w:val="both"/>
        <w:rPr>
          <w:rFonts w:asciiTheme="minorEastAsia" w:hAnsiTheme="minorEastAsia" w:eastAsiaTheme="minorEastAsia" w:cstheme="minorEastAsia"/>
          <w:color w:val="000000"/>
          <w:kern w:val="2"/>
          <w:sz w:val="28"/>
          <w:szCs w:val="28"/>
        </w:rPr>
      </w:pPr>
      <w:r>
        <w:rPr>
          <w:rFonts w:hint="eastAsia" w:ascii="Times New Roman" w:cs="Times New Roman"/>
          <w:b/>
          <w:bCs/>
          <w:sz w:val="28"/>
          <w:szCs w:val="28"/>
        </w:rPr>
        <w:t>2.双师素质培养</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先后建立3家“双师型教师培养基地”（表2），出台《“双师型教师培养基地”建设工作方案》、《关于加强“双师型”教师队伍建设实施意见》等文件，实施“互聘共培、双师双岗”师资队伍培养计划，打造专兼结合的优秀教学团队。修订《关于专业教师参加专业实践的管理规定》，进一步明确专业教师参加专业实践要求，通过制订激励措施调动广大教师参加专业实践的积极性。两年来，先后有73名老师赴医院、企业进行专业实践。同时，聘请行业专家授课、开设专题讲座，鼓励教师通过各种渠道参与行业职业技能培训考核，提升双师素质，目前学校双师素质教师占比达88%以上（图3）。</w:t>
      </w:r>
    </w:p>
    <w:p>
      <w:pPr>
        <w:spacing w:beforeLines="50" w:line="48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表2  双师型教师培养基地情况</w:t>
      </w:r>
    </w:p>
    <w:tbl>
      <w:tblPr>
        <w:tblStyle w:val="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214"/>
        <w:gridCol w:w="231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1101" w:type="dxa"/>
          </w:tcPr>
          <w:p>
            <w:pPr>
              <w:widowControl w:val="0"/>
              <w:spacing w:beforeLines="5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序号</w:t>
            </w:r>
          </w:p>
        </w:tc>
        <w:tc>
          <w:tcPr>
            <w:tcW w:w="3214" w:type="dxa"/>
          </w:tcPr>
          <w:p>
            <w:pPr>
              <w:widowControl w:val="0"/>
              <w:spacing w:beforeLines="5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基地名称</w:t>
            </w:r>
          </w:p>
        </w:tc>
        <w:tc>
          <w:tcPr>
            <w:tcW w:w="2314" w:type="dxa"/>
          </w:tcPr>
          <w:p>
            <w:pPr>
              <w:widowControl w:val="0"/>
              <w:spacing w:beforeLines="5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培训方式</w:t>
            </w:r>
          </w:p>
        </w:tc>
        <w:tc>
          <w:tcPr>
            <w:tcW w:w="1559" w:type="dxa"/>
          </w:tcPr>
          <w:p>
            <w:pPr>
              <w:widowControl w:val="0"/>
              <w:spacing w:beforeLines="5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培训人数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1101"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321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江苏省人民医院</w:t>
            </w:r>
          </w:p>
        </w:tc>
        <w:tc>
          <w:tcPr>
            <w:tcW w:w="231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个人访学、专业实践</w:t>
            </w:r>
          </w:p>
        </w:tc>
        <w:tc>
          <w:tcPr>
            <w:tcW w:w="1559"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1101"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w:t>
            </w:r>
          </w:p>
        </w:tc>
        <w:tc>
          <w:tcPr>
            <w:tcW w:w="321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南京医科大学第二附属医院</w:t>
            </w:r>
          </w:p>
        </w:tc>
        <w:tc>
          <w:tcPr>
            <w:tcW w:w="231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专业实践</w:t>
            </w:r>
          </w:p>
        </w:tc>
        <w:tc>
          <w:tcPr>
            <w:tcW w:w="1559"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01"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w:t>
            </w:r>
          </w:p>
        </w:tc>
        <w:tc>
          <w:tcPr>
            <w:tcW w:w="321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南京鼓楼医院</w:t>
            </w:r>
          </w:p>
        </w:tc>
        <w:tc>
          <w:tcPr>
            <w:tcW w:w="231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专业实践</w:t>
            </w:r>
          </w:p>
        </w:tc>
        <w:tc>
          <w:tcPr>
            <w:tcW w:w="1559"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w:t>
            </w:r>
          </w:p>
        </w:tc>
      </w:tr>
    </w:tbl>
    <w:p>
      <w:pPr>
        <w:spacing w:beforeLines="50" w:line="480" w:lineRule="exact"/>
        <w:jc w:val="center"/>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drawing>
          <wp:anchor distT="0" distB="0" distL="114300" distR="114300" simplePos="0" relativeHeight="251665408" behindDoc="0" locked="0" layoutInCell="1" allowOverlap="1">
            <wp:simplePos x="0" y="0"/>
            <wp:positionH relativeFrom="column">
              <wp:posOffset>542925</wp:posOffset>
            </wp:positionH>
            <wp:positionV relativeFrom="paragraph">
              <wp:posOffset>314325</wp:posOffset>
            </wp:positionV>
            <wp:extent cx="4288790" cy="1504950"/>
            <wp:effectExtent l="19050" t="0" r="16510" b="0"/>
            <wp:wrapTopAndBottom/>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heme="majorEastAsia" w:hAnsiTheme="majorEastAsia" w:eastAsiaTheme="majorEastAsia" w:cstheme="majorEastAsia"/>
          <w:b/>
        </w:rPr>
        <w:t>图3 具有双师素质教师比例（%）</w:t>
      </w:r>
    </w:p>
    <w:p>
      <w:pPr>
        <w:spacing w:line="480" w:lineRule="exact"/>
        <w:ind w:firstLine="562" w:firstLineChars="200"/>
        <w:rPr>
          <w:rFonts w:cs="Times New Roman"/>
          <w:b/>
          <w:sz w:val="28"/>
          <w:szCs w:val="28"/>
        </w:rPr>
      </w:pPr>
      <w:r>
        <w:rPr>
          <w:rFonts w:hint="eastAsia" w:cs="Times New Roman"/>
          <w:b/>
          <w:sz w:val="28"/>
          <w:szCs w:val="28"/>
        </w:rPr>
        <w:t>3.兼职教师教学能力提升</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制订《临床教师聘任与管理办法》，高标准遴选并建立临床教师人才库，目前现有临床教师732人，高级职称占比高达63%。2017年，医院企业的兼职教师405名，教授360门课程，年课时总量41883课时，占学校总课时数56.32%，学校年支付企业兼职教师课酬总额达376.46万元，年生均校外实训基地实习时间达575.6人时。学校先后制订“岗前培训制度”、“集体备课制度”、“督查制度”等，逐步完善临床教师队伍管理制度，保障兼职教师教学能力培养常态化，定期开展教学能力培训、竞赛、督导和评教等活动。2017年护理、临床、影像、康复专业分批组织兼职教师培训，共计培训959人次；先后有共计近800名临床医生参加我校组织的教学能力提升培训。临床医学院和护理学院分别组织了兼职教师“同课同台”讲课比赛及微课竞赛和集体备课等活动，并在省级示范校建设项目中专题立项校院合作科研课题，全面提升临床学院兼职教师的教科研能力。</w:t>
      </w:r>
    </w:p>
    <w:p>
      <w:pPr>
        <w:tabs>
          <w:tab w:val="left" w:pos="4425"/>
        </w:tabs>
        <w:spacing w:line="440" w:lineRule="exact"/>
        <w:ind w:firstLine="562" w:firstLineChars="200"/>
        <w:jc w:val="both"/>
        <w:rPr>
          <w:b/>
          <w:sz w:val="28"/>
          <w:szCs w:val="28"/>
          <w:u w:val="single"/>
        </w:rPr>
      </w:pPr>
      <w:r>
        <w:rPr>
          <w:rFonts w:hint="eastAsia"/>
          <w:b/>
          <w:bCs/>
          <w:sz w:val="28"/>
          <w:szCs w:val="28"/>
        </w:rPr>
        <w:t>（三）专业人才培养</w:t>
      </w:r>
    </w:p>
    <w:p>
      <w:pPr>
        <w:spacing w:line="440" w:lineRule="exact"/>
        <w:ind w:firstLine="562" w:firstLineChars="200"/>
        <w:jc w:val="both"/>
        <w:rPr>
          <w:b/>
          <w:bCs/>
          <w:color w:val="000000" w:themeColor="text1"/>
          <w:sz w:val="28"/>
          <w:szCs w:val="28"/>
        </w:rPr>
      </w:pPr>
      <w:r>
        <w:rPr>
          <w:rFonts w:hint="eastAsia"/>
          <w:b/>
          <w:bCs/>
          <w:color w:val="000000" w:themeColor="text1"/>
          <w:sz w:val="28"/>
          <w:szCs w:val="28"/>
        </w:rPr>
        <w:t>1.专业动态调整与建设</w:t>
      </w:r>
    </w:p>
    <w:p>
      <w:pPr>
        <w:widowControl w:val="0"/>
        <w:adjustRightInd w:val="0"/>
        <w:snapToGrid w:val="0"/>
        <w:spacing w:line="480" w:lineRule="exact"/>
        <w:ind w:firstLine="560" w:firstLineChars="200"/>
        <w:jc w:val="both"/>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结合教育部高职专业目录调整和医疗卫生行业发展新要求，持续推动专业结构优化和调整，制定《专业设置与动态调整实施办法》，积极实施“两级四类”品牌专业建设工程，努力打造专业特色，专业核心竞争力得到快速提升。2017年招生专业18个，其中，江苏省品牌专业A类建设项目1个，江苏省示范校建设重点建设专业4个，全国高职院校健康服务类示范专业1个，职业院校残疾人康复人才培养改革试点专业1个，江苏省高水平骨干建设专业5个（表3）。此外，医学影像技术专业、医学检验技术专业获省高等职业教育产教深度融合实训平台建设专业。同时，在教育部新一轮职业院校专业教学标准制订工作中，我校主持修订教育部康复治疗技术专业教学标准和华东地区护理专业教学标准。另外，还连续多年牵头制订教育部护理职业技能大赛赛项标准制定等。</w:t>
      </w:r>
    </w:p>
    <w:p>
      <w:pPr>
        <w:spacing w:beforeLines="50" w:line="48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表3 专业建设成效</w:t>
      </w:r>
    </w:p>
    <w:tbl>
      <w:tblPr>
        <w:tblStyle w:val="7"/>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widowControl w:val="0"/>
              <w:spacing w:beforeLines="5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专业名称</w:t>
            </w:r>
          </w:p>
        </w:tc>
        <w:tc>
          <w:tcPr>
            <w:tcW w:w="595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建设成效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widowControl w:val="0"/>
              <w:spacing w:beforeLines="5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护理专业</w:t>
            </w:r>
          </w:p>
        </w:tc>
        <w:tc>
          <w:tcPr>
            <w:tcW w:w="595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江苏省示范校建设重点建设专业</w:t>
            </w:r>
          </w:p>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江苏省高水平骨干建设专业</w:t>
            </w:r>
          </w:p>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国家级实训基地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widowControl w:val="0"/>
              <w:spacing w:beforeLines="5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药学专业</w:t>
            </w:r>
          </w:p>
        </w:tc>
        <w:tc>
          <w:tcPr>
            <w:tcW w:w="595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江苏省品牌专业A类建设项目</w:t>
            </w:r>
          </w:p>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江苏省高水平骨干建设专业</w:t>
            </w:r>
          </w:p>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国家级实训基地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widowControl w:val="0"/>
              <w:spacing w:beforeLines="5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临床医学专业</w:t>
            </w:r>
          </w:p>
        </w:tc>
        <w:tc>
          <w:tcPr>
            <w:tcW w:w="595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江苏省示范校建设重点建设专业</w:t>
            </w:r>
          </w:p>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江苏省高水平骨干建设专业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widowControl w:val="0"/>
              <w:spacing w:beforeLines="5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康复治疗技术专业</w:t>
            </w:r>
          </w:p>
        </w:tc>
        <w:tc>
          <w:tcPr>
            <w:tcW w:w="595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江苏省示范校建设重点建设专业</w:t>
            </w:r>
          </w:p>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江苏省高水平骨干建设专业</w:t>
            </w:r>
          </w:p>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职业院校残疾人康复人才培养改革试点专业国家级实训基地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2376" w:type="dxa"/>
            <w:vAlign w:val="center"/>
          </w:tcPr>
          <w:p>
            <w:pPr>
              <w:widowControl w:val="0"/>
              <w:spacing w:beforeLines="5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医学影像技术专业</w:t>
            </w:r>
          </w:p>
        </w:tc>
        <w:tc>
          <w:tcPr>
            <w:tcW w:w="595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江苏省示范校建设重点建设专业</w:t>
            </w:r>
          </w:p>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江苏省高水平骨干建设专业</w:t>
            </w:r>
          </w:p>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省级产教融合实训基地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widowControl w:val="0"/>
              <w:spacing w:beforeLines="5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医学检验技术专业</w:t>
            </w:r>
          </w:p>
        </w:tc>
        <w:tc>
          <w:tcPr>
            <w:tcW w:w="5954" w:type="dxa"/>
          </w:tcPr>
          <w:p>
            <w:pPr>
              <w:widowControl w:val="0"/>
              <w:spacing w:beforeLines="5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省级产教融合实训基地</w:t>
            </w:r>
          </w:p>
        </w:tc>
      </w:tr>
    </w:tbl>
    <w:p>
      <w:pPr>
        <w:spacing w:line="480" w:lineRule="exact"/>
        <w:ind w:firstLine="562" w:firstLineChars="200"/>
        <w:rPr>
          <w:b/>
          <w:bCs/>
          <w:sz w:val="28"/>
          <w:szCs w:val="28"/>
        </w:rPr>
      </w:pPr>
      <w:r>
        <w:rPr>
          <w:rFonts w:hint="eastAsia" w:ascii="Times New Roman" w:cs="Times New Roman"/>
          <w:b/>
          <w:bCs/>
          <w:color w:val="000000" w:themeColor="text1"/>
          <w:sz w:val="28"/>
          <w:szCs w:val="28"/>
        </w:rPr>
        <w:t>2.</w:t>
      </w:r>
      <w:r>
        <w:rPr>
          <w:rFonts w:hint="eastAsia"/>
          <w:b/>
          <w:bCs/>
          <w:color w:val="000000" w:themeColor="text1"/>
          <w:sz w:val="28"/>
          <w:szCs w:val="28"/>
        </w:rPr>
        <w:t>协同育人平台建设</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依托省卫计委、教育厅、盐城市人民政府三方共建我校的政策平台，撬动和集聚政府、行业、医院、企业、学校等优质教育资源，探索灵活高效的协作机制，形成“政校行企”合作办学联合体，组建盐卫-现代职教体系学校联盟、盐卫-专业建设合作学校联盟、盐卫-医教联合体等5个联盟组织，建成组织一体化的合作育人平台。借此开展定向委培、对口单招、订单班、分段培养、中外合作办学等合作招生，实现合作招生一体化，并实施医教联合培养、现代学徒试点、订单培养、质量评价、专业建设、师资建设等合作培养项目，实现合作培养一体化；借助实习就业联动机制，实现合作就业一体化。通过合作招生、培养、就业等项目，形成功能一体化的合作办学机制。最终为学校人才培养建立起高效的合作办学环境，目前我校共有附属医院8所，临床学院17所。</w:t>
      </w:r>
    </w:p>
    <w:p>
      <w:pPr>
        <w:spacing w:line="480" w:lineRule="exact"/>
        <w:ind w:firstLine="562" w:firstLineChars="200"/>
        <w:rPr>
          <w:bCs/>
          <w:sz w:val="28"/>
          <w:szCs w:val="28"/>
        </w:rPr>
      </w:pPr>
      <w:r>
        <w:rPr>
          <w:rFonts w:hint="eastAsia"/>
          <w:b/>
          <w:sz w:val="28"/>
          <w:szCs w:val="28"/>
        </w:rPr>
        <w:t>3.医教协同人才培养模式改革</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紧扣“健康中国”战略目标，适应苏北基层卫生事业发展对专业人才的迫切需求，依托医教协同育人平台，临床医学、护理、药学等5个基层紧缺专业结合人才培养要求和自身特点，对接现代医学教育模式，开展人才培养模式探索。学校2015年开展全科医生、社区护士等基层适用人才定向培养，试点护理、药学、康复专业人才现代学徒制培养，深化“教育-实践-服务三结合”基层卫生人才培养模式改革；创新面向基层的“入学教育-专业教育-毕业教育-岗位教育”的“全程四段式”就业教育体系；构建“医-教-学-服务对象”的“四元主体，医教联动”基层人才培养质量评价体系。护理专业“三合一、三突出”人才培养模式，实现了素质教育全程渗透、岗位能力三阶递进，《医教协同培养基层护理人才的实践与创新》获得省教育教学成果二等奖，《医教协同培养特色化护理人才的实践与创新》入选江苏省教育改革创新优秀典型案例；康复治疗技术专业在“三结合、递进式”人才培养模式基础上，遴选合作单位，开展校院双主体育人的现代学徒制培养模式改革，采用“1+1+1”的模式组织实施；临床医学专业不断优化“校院共培，三三分段”人才培养模式，《以区域卫生发展需求为导向的助理全科医学人才培养体系的构建》等2项课题获省教育厅重点教改课题立项；医学影像技术专业进一步完善“课程—岗位”融通的“无界化”人才培养模式，把课堂延伸到医院行业一线，使课堂与医学影像检查技术等实际工作岗位融为一体；药学专业“实施‘五位一体’教育模式，培养药学创新创业人才”案例入选《江苏高校品牌专业项目建设优秀案例》。</w:t>
      </w:r>
    </w:p>
    <w:p>
      <w:pPr>
        <w:spacing w:line="480" w:lineRule="exact"/>
        <w:ind w:firstLine="562" w:firstLineChars="200"/>
        <w:rPr>
          <w:b/>
          <w:bCs/>
          <w:sz w:val="28"/>
          <w:szCs w:val="28"/>
        </w:rPr>
      </w:pPr>
      <w:r>
        <w:rPr>
          <w:rFonts w:hint="eastAsia"/>
          <w:b/>
          <w:bCs/>
          <w:sz w:val="28"/>
          <w:szCs w:val="28"/>
        </w:rPr>
        <w:t>4.基层卫生人才培养示范区建设</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坚持“面向基层、立足江苏、服务长三角、辐射全国”的办学定位，率先在全国开展全科医学人才培养路径改革，打造基层全科骨干人才培养示范区。从传统的“3年专科+毕业后2年规培”，到“3年专科+2年规培并轨成人本科”，再到“‘3+2’分段培养并轨规培，实现五证合一”。此项改革在全国基层全科医学人才培养高层次研讨会上引起较大反响，引起多家主流媒体关注，相关内容被直接写入《省政府办公厅关于深化医教协同推进医学教育改革发展的实施意见》，创新了临床医学专科人才学历提升与助理全科医师规范化培训并轨的“江苏模式”，搭建了基层适用人才“全日制学历教育-规范化岗前培训-职后继续教育培训”持续发展的上升通道，短期内有效提升区域的基层卫生服务水平。</w:t>
      </w:r>
    </w:p>
    <w:p>
      <w:pPr>
        <w:spacing w:line="440" w:lineRule="exact"/>
        <w:ind w:firstLine="562" w:firstLineChars="200"/>
        <w:rPr>
          <w:rFonts w:ascii="Times New Roman" w:cs="Times New Roman"/>
          <w:b/>
          <w:bCs/>
          <w:color w:val="FF0000"/>
          <w:sz w:val="28"/>
          <w:szCs w:val="28"/>
        </w:rPr>
      </w:pPr>
      <w:r>
        <w:rPr>
          <w:rFonts w:hint="eastAsia"/>
          <w:b/>
          <w:bCs/>
          <w:sz w:val="28"/>
          <w:szCs w:val="28"/>
        </w:rPr>
        <w:t>（四）</w:t>
      </w:r>
      <w:r>
        <w:rPr>
          <w:rFonts w:hint="eastAsia" w:ascii="Times New Roman" w:cs="Times New Roman"/>
          <w:b/>
          <w:bCs/>
          <w:color w:val="000000" w:themeColor="text1"/>
          <w:sz w:val="28"/>
          <w:szCs w:val="28"/>
        </w:rPr>
        <w:t>课程体系优化与信息化教学</w:t>
      </w:r>
    </w:p>
    <w:p>
      <w:pPr>
        <w:spacing w:line="440" w:lineRule="exact"/>
        <w:ind w:firstLine="562" w:firstLineChars="200"/>
        <w:rPr>
          <w:b/>
        </w:rPr>
      </w:pPr>
      <w:r>
        <w:rPr>
          <w:rFonts w:hint="eastAsia" w:asciiTheme="minorEastAsia" w:hAnsiTheme="minorEastAsia" w:cstheme="minorEastAsia"/>
          <w:b/>
          <w:sz w:val="28"/>
          <w:szCs w:val="28"/>
        </w:rPr>
        <w:t>1.课程改革与资源建设</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各专业以提高学生岗位胜任力为目标，不断优化课程体系，进行课程整合和课程改革（课程开设结构见表</w:t>
      </w:r>
      <w:r>
        <w:rPr>
          <w:rFonts w:asciiTheme="minorEastAsia" w:hAnsiTheme="minorEastAsia" w:eastAsiaTheme="minorEastAsia" w:cstheme="minorEastAsia"/>
          <w:color w:val="000000"/>
          <w:kern w:val="2"/>
          <w:sz w:val="28"/>
          <w:szCs w:val="28"/>
        </w:rPr>
        <w:t>4</w:t>
      </w:r>
      <w:r>
        <w:rPr>
          <w:rFonts w:hint="eastAsia" w:asciiTheme="minorEastAsia" w:hAnsiTheme="minorEastAsia" w:eastAsiaTheme="minorEastAsia" w:cstheme="minorEastAsia"/>
          <w:color w:val="000000"/>
          <w:kern w:val="2"/>
          <w:sz w:val="28"/>
          <w:szCs w:val="28"/>
        </w:rPr>
        <w:t>）</w:t>
      </w:r>
      <w:r>
        <w:rPr>
          <w:rFonts w:asciiTheme="minorEastAsia" w:hAnsiTheme="minorEastAsia" w:eastAsiaTheme="minorEastAsia" w:cstheme="minorEastAsia"/>
          <w:color w:val="000000"/>
          <w:kern w:val="2"/>
          <w:sz w:val="28"/>
          <w:szCs w:val="28"/>
        </w:rPr>
        <w:t>。</w:t>
      </w:r>
      <w:r>
        <w:rPr>
          <w:rFonts w:hint="eastAsia" w:asciiTheme="minorEastAsia" w:hAnsiTheme="minorEastAsia" w:eastAsiaTheme="minorEastAsia" w:cstheme="minorEastAsia"/>
          <w:color w:val="000000"/>
          <w:kern w:val="2"/>
          <w:sz w:val="28"/>
          <w:szCs w:val="28"/>
        </w:rPr>
        <w:t>鼓励公共基础课程开展实践式、情景式课堂教学，引导专业基础课程教师利用在线课程平台开展现场教学、情境教学模式改革；继续推进专业课程以“教学做”一体化为核心的案例教学、项目化教学、</w:t>
      </w:r>
      <w:r>
        <w:rPr>
          <w:rFonts w:asciiTheme="minorEastAsia" w:hAnsiTheme="minorEastAsia" w:eastAsiaTheme="minorEastAsia" w:cstheme="minorEastAsia"/>
          <w:color w:val="000000"/>
          <w:kern w:val="2"/>
          <w:sz w:val="28"/>
          <w:szCs w:val="28"/>
        </w:rPr>
        <w:t>PBL教学等教学改革，充分利用临床教学资源，推进专业核心课程床边教学改革；加快课程数字化试卷库、试题库建设进程，稳步推进无纸化考核，实现课程考核方式的信息化。护理专业全面推进“临床优质护理、提高学生思维能力、重症照护能力、沟通能力”为核心的护理课程改革。按照客观结构化临床考试(OSCE)的标准，构建基于综合医院护理工作岗位的多站式实训体系，设置对应护理岗位（群）的5个护理实训站，开展针对性实训，学生实践技能得到显著提升。</w:t>
      </w:r>
      <w:r>
        <w:rPr>
          <w:rFonts w:hint="eastAsia" w:asciiTheme="minorEastAsia" w:hAnsiTheme="minorEastAsia" w:eastAsiaTheme="minorEastAsia" w:cstheme="minorEastAsia"/>
          <w:color w:val="000000"/>
          <w:kern w:val="2"/>
          <w:sz w:val="28"/>
          <w:szCs w:val="28"/>
        </w:rPr>
        <w:t>药学专业与重庆医药高等专科学校联合主持国家药学专业教学资源库建设项目。康复类专业教指委名义与宁波卫生职业技术学院等联合主持国家康复治疗技术专业教学资源库建设项目。有4门课程入选中国医学教育慕课联盟优秀在线课程项目，2门入选省精品在线开放课程。在2017年卫生类两大行业出版社所组织的“十三五”规划教材遴选中，有7本主编教材入选人民卫生出版社规划教材，有17本主编教材入选中国医药科技出版社规划教材，入选总数为省内卫生高职院校第一。</w:t>
      </w:r>
    </w:p>
    <w:p>
      <w:pPr>
        <w:spacing w:beforeLines="50" w:line="48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表4  2016-2017学年课程开设结构</w:t>
      </w:r>
    </w:p>
    <w:tbl>
      <w:tblPr>
        <w:tblStyle w:val="6"/>
        <w:tblW w:w="8336" w:type="dxa"/>
        <w:jc w:val="center"/>
        <w:tblInd w:w="0" w:type="dxa"/>
        <w:tblLayout w:type="fixed"/>
        <w:tblCellMar>
          <w:top w:w="15" w:type="dxa"/>
          <w:left w:w="15" w:type="dxa"/>
          <w:bottom w:w="15" w:type="dxa"/>
          <w:right w:w="15" w:type="dxa"/>
        </w:tblCellMar>
      </w:tblPr>
      <w:tblGrid>
        <w:gridCol w:w="1516"/>
        <w:gridCol w:w="1517"/>
        <w:gridCol w:w="2659"/>
        <w:gridCol w:w="2644"/>
      </w:tblGrid>
      <w:tr>
        <w:tblPrEx>
          <w:tblLayout w:type="fixed"/>
          <w:tblCellMar>
            <w:top w:w="15" w:type="dxa"/>
            <w:left w:w="15" w:type="dxa"/>
            <w:bottom w:w="15" w:type="dxa"/>
            <w:right w:w="15" w:type="dxa"/>
          </w:tblCellMar>
        </w:tblPrEx>
        <w:trPr>
          <w:trHeight w:val="90" w:hRule="atLeast"/>
          <w:jc w:val="center"/>
        </w:trPr>
        <w:tc>
          <w:tcPr>
            <w:tcW w:w="3033" w:type="dxa"/>
            <w:gridSpan w:val="2"/>
            <w:tcBorders>
              <w:top w:val="single" w:color="000000" w:sz="4" w:space="0"/>
              <w:left w:val="single" w:color="000000" w:sz="4" w:space="0"/>
              <w:bottom w:val="single" w:color="000000" w:sz="4" w:space="0"/>
              <w:right w:val="single" w:color="000000" w:sz="4" w:space="0"/>
            </w:tcBorders>
          </w:tcPr>
          <w:p>
            <w:pPr>
              <w:spacing w:beforeLines="50"/>
              <w:jc w:val="center"/>
              <w:textAlignment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21"/>
                <w:szCs w:val="21"/>
              </w:rPr>
              <w:t>学年</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2016</w:t>
            </w:r>
          </w:p>
        </w:tc>
        <w:tc>
          <w:tcPr>
            <w:tcW w:w="2644" w:type="dxa"/>
            <w:tcBorders>
              <w:top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2017</w:t>
            </w:r>
          </w:p>
        </w:tc>
      </w:tr>
      <w:tr>
        <w:tblPrEx>
          <w:tblLayout w:type="fixed"/>
          <w:tblCellMar>
            <w:top w:w="15" w:type="dxa"/>
            <w:left w:w="15" w:type="dxa"/>
            <w:bottom w:w="15" w:type="dxa"/>
            <w:right w:w="15" w:type="dxa"/>
          </w:tblCellMar>
        </w:tblPrEx>
        <w:trPr>
          <w:trHeight w:val="284" w:hRule="atLeast"/>
          <w:jc w:val="center"/>
        </w:trPr>
        <w:tc>
          <w:tcPr>
            <w:tcW w:w="3033" w:type="dxa"/>
            <w:gridSpan w:val="2"/>
            <w:tcBorders>
              <w:top w:val="single" w:color="000000" w:sz="4" w:space="0"/>
              <w:left w:val="single" w:color="000000" w:sz="4" w:space="0"/>
              <w:bottom w:val="single" w:color="000000" w:sz="4" w:space="0"/>
              <w:right w:val="single" w:color="000000" w:sz="4" w:space="0"/>
            </w:tcBorders>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专业数</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2644" w:type="dxa"/>
            <w:tcBorders>
              <w:top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r>
      <w:tr>
        <w:tblPrEx>
          <w:tblLayout w:type="fixed"/>
          <w:tblCellMar>
            <w:top w:w="15" w:type="dxa"/>
            <w:left w:w="15" w:type="dxa"/>
            <w:bottom w:w="15" w:type="dxa"/>
            <w:right w:w="15" w:type="dxa"/>
          </w:tblCellMar>
        </w:tblPrEx>
        <w:trPr>
          <w:trHeight w:val="93" w:hRule="atLeast"/>
          <w:jc w:val="center"/>
        </w:trPr>
        <w:tc>
          <w:tcPr>
            <w:tcW w:w="3033" w:type="dxa"/>
            <w:gridSpan w:val="2"/>
            <w:tcBorders>
              <w:top w:val="single" w:color="000000" w:sz="4" w:space="0"/>
              <w:left w:val="single" w:color="000000" w:sz="4" w:space="0"/>
              <w:bottom w:val="single" w:color="000000" w:sz="4" w:space="0"/>
              <w:right w:val="single" w:color="000000" w:sz="4" w:space="0"/>
            </w:tcBorders>
          </w:tcPr>
          <w:p>
            <w:pPr>
              <w:spacing w:beforeLines="5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sz w:val="21"/>
                <w:szCs w:val="21"/>
              </w:rPr>
              <w:t>开设课程总数（门）</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667</w:t>
            </w:r>
          </w:p>
        </w:tc>
        <w:tc>
          <w:tcPr>
            <w:tcW w:w="2644" w:type="dxa"/>
            <w:tcBorders>
              <w:top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674</w:t>
            </w:r>
          </w:p>
        </w:tc>
      </w:tr>
      <w:tr>
        <w:tblPrEx>
          <w:tblLayout w:type="fixed"/>
          <w:tblCellMar>
            <w:top w:w="15" w:type="dxa"/>
            <w:left w:w="15" w:type="dxa"/>
            <w:bottom w:w="15" w:type="dxa"/>
            <w:right w:w="15" w:type="dxa"/>
          </w:tblCellMar>
        </w:tblPrEx>
        <w:trPr>
          <w:trHeight w:val="292" w:hRule="atLeast"/>
          <w:jc w:val="center"/>
        </w:trPr>
        <w:tc>
          <w:tcPr>
            <w:tcW w:w="1516" w:type="dxa"/>
            <w:vMerge w:val="restart"/>
            <w:tcBorders>
              <w:top w:val="single" w:color="000000" w:sz="4" w:space="0"/>
              <w:left w:val="single" w:color="000000" w:sz="4" w:space="0"/>
              <w:right w:val="single" w:color="000000" w:sz="4" w:space="0"/>
            </w:tcBorders>
            <w:vAlign w:val="center"/>
          </w:tcPr>
          <w:p>
            <w:pPr>
              <w:spacing w:beforeLines="50"/>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A类课程</w:t>
            </w:r>
          </w:p>
        </w:tc>
        <w:tc>
          <w:tcPr>
            <w:tcW w:w="1517" w:type="dxa"/>
            <w:tcBorders>
              <w:top w:val="single" w:color="000000" w:sz="4" w:space="0"/>
              <w:left w:val="single" w:color="000000" w:sz="4" w:space="0"/>
              <w:bottom w:val="single" w:color="000000" w:sz="4" w:space="0"/>
              <w:right w:val="single" w:color="000000" w:sz="4" w:space="0"/>
            </w:tcBorders>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门数</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66"/>
                <w:tab w:val="center" w:pos="506"/>
              </w:tabs>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70</w:t>
            </w:r>
          </w:p>
        </w:tc>
        <w:tc>
          <w:tcPr>
            <w:tcW w:w="2644" w:type="dxa"/>
            <w:tcBorders>
              <w:top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w:t>
            </w:r>
          </w:p>
        </w:tc>
      </w:tr>
      <w:tr>
        <w:tblPrEx>
          <w:tblLayout w:type="fixed"/>
          <w:tblCellMar>
            <w:top w:w="15" w:type="dxa"/>
            <w:left w:w="15" w:type="dxa"/>
            <w:bottom w:w="15" w:type="dxa"/>
            <w:right w:w="15" w:type="dxa"/>
          </w:tblCellMar>
        </w:tblPrEx>
        <w:trPr>
          <w:trHeight w:val="313" w:hRule="atLeast"/>
          <w:jc w:val="center"/>
        </w:trPr>
        <w:tc>
          <w:tcPr>
            <w:tcW w:w="1516" w:type="dxa"/>
            <w:vMerge w:val="continue"/>
            <w:tcBorders>
              <w:left w:val="single" w:color="000000" w:sz="4" w:space="0"/>
              <w:bottom w:val="single" w:color="000000" w:sz="4" w:space="0"/>
              <w:right w:val="single" w:color="000000" w:sz="4" w:space="0"/>
            </w:tcBorders>
            <w:vAlign w:val="center"/>
          </w:tcPr>
          <w:p>
            <w:pPr>
              <w:tabs>
                <w:tab w:val="left" w:pos="266"/>
                <w:tab w:val="center" w:pos="506"/>
              </w:tabs>
              <w:spacing w:beforeLines="50"/>
              <w:jc w:val="center"/>
              <w:textAlignment w:val="center"/>
              <w:rPr>
                <w:rFonts w:asciiTheme="minorEastAsia" w:hAnsiTheme="minorEastAsia" w:eastAsiaTheme="minorEastAsia" w:cstheme="minorEastAsia"/>
                <w:b/>
                <w:bCs/>
                <w:color w:val="000000"/>
                <w:sz w:val="21"/>
                <w:szCs w:val="21"/>
              </w:rPr>
            </w:pPr>
          </w:p>
        </w:tc>
        <w:tc>
          <w:tcPr>
            <w:tcW w:w="1517" w:type="dxa"/>
            <w:tcBorders>
              <w:top w:val="single" w:color="000000" w:sz="4" w:space="0"/>
              <w:left w:val="single" w:color="000000" w:sz="4" w:space="0"/>
              <w:bottom w:val="single" w:color="000000" w:sz="4" w:space="0"/>
              <w:right w:val="single" w:color="000000" w:sz="4" w:space="0"/>
            </w:tcBorders>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占比（%）</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66"/>
                <w:tab w:val="center" w:pos="506"/>
              </w:tabs>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10.49</w:t>
            </w:r>
          </w:p>
        </w:tc>
        <w:tc>
          <w:tcPr>
            <w:tcW w:w="2644" w:type="dxa"/>
            <w:tcBorders>
              <w:top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11.28</w:t>
            </w:r>
          </w:p>
        </w:tc>
      </w:tr>
      <w:tr>
        <w:tblPrEx>
          <w:tblLayout w:type="fixed"/>
          <w:tblCellMar>
            <w:top w:w="15" w:type="dxa"/>
            <w:left w:w="15" w:type="dxa"/>
            <w:bottom w:w="15" w:type="dxa"/>
            <w:right w:w="15" w:type="dxa"/>
          </w:tblCellMar>
        </w:tblPrEx>
        <w:trPr>
          <w:trHeight w:val="277" w:hRule="atLeast"/>
          <w:jc w:val="center"/>
        </w:trPr>
        <w:tc>
          <w:tcPr>
            <w:tcW w:w="1516" w:type="dxa"/>
            <w:vMerge w:val="restart"/>
            <w:tcBorders>
              <w:top w:val="single" w:color="000000" w:sz="4" w:space="0"/>
              <w:left w:val="single" w:color="000000" w:sz="4" w:space="0"/>
              <w:right w:val="single" w:color="000000" w:sz="4" w:space="0"/>
            </w:tcBorders>
            <w:vAlign w:val="center"/>
          </w:tcPr>
          <w:p>
            <w:pPr>
              <w:spacing w:beforeLines="50"/>
              <w:jc w:val="center"/>
              <w:textAlignment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21"/>
                <w:szCs w:val="21"/>
              </w:rPr>
              <w:t>B类课程</w:t>
            </w:r>
          </w:p>
        </w:tc>
        <w:tc>
          <w:tcPr>
            <w:tcW w:w="1517" w:type="dxa"/>
            <w:tcBorders>
              <w:top w:val="single" w:color="000000" w:sz="4" w:space="0"/>
              <w:left w:val="single" w:color="000000" w:sz="4" w:space="0"/>
              <w:bottom w:val="single" w:color="000000" w:sz="4" w:space="0"/>
              <w:right w:val="single" w:color="000000" w:sz="4" w:space="0"/>
            </w:tcBorders>
          </w:tcPr>
          <w:p>
            <w:pPr>
              <w:spacing w:beforeLines="5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门数</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352</w:t>
            </w:r>
          </w:p>
        </w:tc>
        <w:tc>
          <w:tcPr>
            <w:tcW w:w="2644" w:type="dxa"/>
            <w:tcBorders>
              <w:top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362</w:t>
            </w:r>
          </w:p>
        </w:tc>
      </w:tr>
      <w:tr>
        <w:tblPrEx>
          <w:tblLayout w:type="fixed"/>
          <w:tblCellMar>
            <w:top w:w="15" w:type="dxa"/>
            <w:left w:w="15" w:type="dxa"/>
            <w:bottom w:w="15" w:type="dxa"/>
            <w:right w:w="15" w:type="dxa"/>
          </w:tblCellMar>
        </w:tblPrEx>
        <w:trPr>
          <w:trHeight w:val="280" w:hRule="atLeast"/>
          <w:jc w:val="center"/>
        </w:trPr>
        <w:tc>
          <w:tcPr>
            <w:tcW w:w="1516" w:type="dxa"/>
            <w:vMerge w:val="continue"/>
            <w:tcBorders>
              <w:left w:val="single" w:color="000000" w:sz="4" w:space="0"/>
              <w:bottom w:val="single" w:color="000000" w:sz="4" w:space="0"/>
              <w:right w:val="single" w:color="000000" w:sz="4" w:space="0"/>
            </w:tcBorders>
            <w:vAlign w:val="center"/>
          </w:tcPr>
          <w:p>
            <w:pPr>
              <w:spacing w:beforeLines="50"/>
              <w:jc w:val="center"/>
              <w:textAlignment w:val="center"/>
              <w:rPr>
                <w:rFonts w:asciiTheme="minorEastAsia" w:hAnsiTheme="minorEastAsia" w:eastAsiaTheme="minorEastAsia" w:cstheme="minorEastAsia"/>
                <w:b/>
                <w:bCs/>
                <w:color w:val="000000"/>
                <w:sz w:val="21"/>
                <w:szCs w:val="21"/>
              </w:rPr>
            </w:pPr>
          </w:p>
        </w:tc>
        <w:tc>
          <w:tcPr>
            <w:tcW w:w="1517" w:type="dxa"/>
            <w:tcBorders>
              <w:top w:val="single" w:color="000000" w:sz="4" w:space="0"/>
              <w:left w:val="single" w:color="000000" w:sz="4" w:space="0"/>
              <w:bottom w:val="single" w:color="000000" w:sz="4" w:space="0"/>
              <w:right w:val="single" w:color="000000" w:sz="4" w:space="0"/>
            </w:tcBorders>
          </w:tcPr>
          <w:p>
            <w:pPr>
              <w:spacing w:beforeLines="5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占比（%）</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52.77</w:t>
            </w:r>
          </w:p>
        </w:tc>
        <w:tc>
          <w:tcPr>
            <w:tcW w:w="2644" w:type="dxa"/>
            <w:tcBorders>
              <w:top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53.71</w:t>
            </w:r>
          </w:p>
        </w:tc>
      </w:tr>
      <w:tr>
        <w:tblPrEx>
          <w:tblLayout w:type="fixed"/>
          <w:tblCellMar>
            <w:top w:w="15" w:type="dxa"/>
            <w:left w:w="15" w:type="dxa"/>
            <w:bottom w:w="15" w:type="dxa"/>
            <w:right w:w="15" w:type="dxa"/>
          </w:tblCellMar>
        </w:tblPrEx>
        <w:trPr>
          <w:trHeight w:val="277" w:hRule="atLeast"/>
          <w:jc w:val="center"/>
        </w:trPr>
        <w:tc>
          <w:tcPr>
            <w:tcW w:w="1516" w:type="dxa"/>
            <w:vMerge w:val="restart"/>
            <w:tcBorders>
              <w:top w:val="single" w:color="000000" w:sz="4" w:space="0"/>
              <w:left w:val="single" w:color="000000" w:sz="4" w:space="0"/>
              <w:right w:val="single" w:color="000000" w:sz="4" w:space="0"/>
            </w:tcBorders>
            <w:vAlign w:val="center"/>
          </w:tcPr>
          <w:p>
            <w:pPr>
              <w:spacing w:beforeLines="50"/>
              <w:jc w:val="center"/>
              <w:textAlignment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21"/>
                <w:szCs w:val="21"/>
              </w:rPr>
              <w:t>C类课程</w:t>
            </w:r>
          </w:p>
        </w:tc>
        <w:tc>
          <w:tcPr>
            <w:tcW w:w="1517" w:type="dxa"/>
            <w:tcBorders>
              <w:top w:val="single" w:color="000000" w:sz="4" w:space="0"/>
              <w:left w:val="single" w:color="000000" w:sz="4" w:space="0"/>
              <w:bottom w:val="single" w:color="000000" w:sz="4" w:space="0"/>
              <w:right w:val="single" w:color="000000" w:sz="4" w:space="0"/>
            </w:tcBorders>
          </w:tcPr>
          <w:p>
            <w:pPr>
              <w:spacing w:beforeLines="5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门数</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269</w:t>
            </w:r>
          </w:p>
        </w:tc>
        <w:tc>
          <w:tcPr>
            <w:tcW w:w="2644" w:type="dxa"/>
            <w:tcBorders>
              <w:top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270</w:t>
            </w:r>
          </w:p>
        </w:tc>
      </w:tr>
      <w:tr>
        <w:tblPrEx>
          <w:tblLayout w:type="fixed"/>
          <w:tblCellMar>
            <w:top w:w="15" w:type="dxa"/>
            <w:left w:w="15" w:type="dxa"/>
            <w:bottom w:w="15" w:type="dxa"/>
            <w:right w:w="15" w:type="dxa"/>
          </w:tblCellMar>
        </w:tblPrEx>
        <w:trPr>
          <w:trHeight w:val="287" w:hRule="atLeast"/>
          <w:jc w:val="center"/>
        </w:trPr>
        <w:tc>
          <w:tcPr>
            <w:tcW w:w="1516" w:type="dxa"/>
            <w:vMerge w:val="continue"/>
            <w:tcBorders>
              <w:left w:val="single" w:color="000000" w:sz="4" w:space="0"/>
              <w:bottom w:val="single" w:color="auto" w:sz="4" w:space="0"/>
              <w:right w:val="single" w:color="000000" w:sz="4" w:space="0"/>
            </w:tcBorders>
            <w:vAlign w:val="center"/>
          </w:tcPr>
          <w:p>
            <w:pPr>
              <w:spacing w:beforeLines="50"/>
              <w:jc w:val="center"/>
              <w:textAlignment w:val="center"/>
              <w:rPr>
                <w:rFonts w:asciiTheme="minorEastAsia" w:hAnsiTheme="minorEastAsia" w:eastAsiaTheme="minorEastAsia" w:cstheme="minorEastAsia"/>
                <w:b/>
                <w:bCs/>
                <w:color w:val="000000"/>
                <w:sz w:val="21"/>
                <w:szCs w:val="21"/>
              </w:rPr>
            </w:pPr>
          </w:p>
        </w:tc>
        <w:tc>
          <w:tcPr>
            <w:tcW w:w="1517" w:type="dxa"/>
            <w:tcBorders>
              <w:top w:val="single" w:color="000000" w:sz="4" w:space="0"/>
              <w:left w:val="single" w:color="000000" w:sz="4" w:space="0"/>
              <w:bottom w:val="single" w:color="auto" w:sz="4" w:space="0"/>
              <w:right w:val="single" w:color="000000" w:sz="4" w:space="0"/>
            </w:tcBorders>
          </w:tcPr>
          <w:p>
            <w:pPr>
              <w:spacing w:beforeLines="5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占比（%）</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40.33</w:t>
            </w:r>
          </w:p>
        </w:tc>
        <w:tc>
          <w:tcPr>
            <w:tcW w:w="2644" w:type="dxa"/>
            <w:tcBorders>
              <w:top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40.06</w:t>
            </w:r>
          </w:p>
        </w:tc>
      </w:tr>
      <w:tr>
        <w:tblPrEx>
          <w:tblLayout w:type="fixed"/>
          <w:tblCellMar>
            <w:top w:w="15" w:type="dxa"/>
            <w:left w:w="15" w:type="dxa"/>
            <w:bottom w:w="15" w:type="dxa"/>
            <w:right w:w="15" w:type="dxa"/>
          </w:tblCellMar>
        </w:tblPrEx>
        <w:trPr>
          <w:trHeight w:val="301" w:hRule="atLeast"/>
          <w:jc w:val="center"/>
        </w:trPr>
        <w:tc>
          <w:tcPr>
            <w:tcW w:w="1516" w:type="dxa"/>
            <w:vMerge w:val="restart"/>
            <w:tcBorders>
              <w:top w:val="single" w:color="auto" w:sz="4" w:space="0"/>
              <w:left w:val="single" w:color="auto" w:sz="4" w:space="0"/>
              <w:right w:val="single" w:color="auto" w:sz="4" w:space="0"/>
            </w:tcBorders>
            <w:vAlign w:val="center"/>
          </w:tcPr>
          <w:p>
            <w:pPr>
              <w:spacing w:beforeLines="50"/>
              <w:jc w:val="center"/>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B+C课程</w:t>
            </w:r>
          </w:p>
        </w:tc>
        <w:tc>
          <w:tcPr>
            <w:tcW w:w="1517" w:type="dxa"/>
            <w:tcBorders>
              <w:top w:val="single" w:color="auto" w:sz="4" w:space="0"/>
              <w:left w:val="single" w:color="auto" w:sz="4" w:space="0"/>
              <w:bottom w:val="single" w:color="auto" w:sz="4" w:space="0"/>
              <w:right w:val="single" w:color="auto" w:sz="4" w:space="0"/>
            </w:tcBorders>
          </w:tcPr>
          <w:p>
            <w:pPr>
              <w:spacing w:beforeLines="5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门数</w:t>
            </w:r>
          </w:p>
        </w:tc>
        <w:tc>
          <w:tcPr>
            <w:tcW w:w="265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621</w:t>
            </w:r>
          </w:p>
        </w:tc>
        <w:tc>
          <w:tcPr>
            <w:tcW w:w="2644" w:type="dxa"/>
            <w:tcBorders>
              <w:top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632</w:t>
            </w:r>
          </w:p>
        </w:tc>
      </w:tr>
      <w:tr>
        <w:tblPrEx>
          <w:tblLayout w:type="fixed"/>
          <w:tblCellMar>
            <w:top w:w="15" w:type="dxa"/>
            <w:left w:w="15" w:type="dxa"/>
            <w:bottom w:w="15" w:type="dxa"/>
            <w:right w:w="15" w:type="dxa"/>
          </w:tblCellMar>
        </w:tblPrEx>
        <w:trPr>
          <w:trHeight w:val="301" w:hRule="atLeast"/>
          <w:jc w:val="center"/>
        </w:trPr>
        <w:tc>
          <w:tcPr>
            <w:tcW w:w="1516" w:type="dxa"/>
            <w:vMerge w:val="continue"/>
            <w:tcBorders>
              <w:left w:val="single" w:color="auto" w:sz="4" w:space="0"/>
              <w:bottom w:val="single" w:color="auto" w:sz="4" w:space="0"/>
              <w:right w:val="single" w:color="auto" w:sz="4" w:space="0"/>
            </w:tcBorders>
          </w:tcPr>
          <w:p>
            <w:pPr>
              <w:spacing w:beforeLines="50"/>
              <w:jc w:val="center"/>
              <w:textAlignment w:val="center"/>
              <w:rPr>
                <w:rFonts w:asciiTheme="minorEastAsia" w:hAnsiTheme="minorEastAsia" w:eastAsiaTheme="minorEastAsia" w:cstheme="minorEastAsia"/>
                <w:sz w:val="21"/>
                <w:szCs w:val="21"/>
              </w:rPr>
            </w:pPr>
          </w:p>
        </w:tc>
        <w:tc>
          <w:tcPr>
            <w:tcW w:w="1517" w:type="dxa"/>
            <w:tcBorders>
              <w:top w:val="single" w:color="auto" w:sz="4" w:space="0"/>
              <w:left w:val="single" w:color="auto" w:sz="4" w:space="0"/>
              <w:bottom w:val="single" w:color="auto" w:sz="4" w:space="0"/>
              <w:right w:val="single" w:color="auto" w:sz="4" w:space="0"/>
            </w:tcBorders>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占比（%）</w:t>
            </w:r>
          </w:p>
        </w:tc>
        <w:tc>
          <w:tcPr>
            <w:tcW w:w="265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93.10</w:t>
            </w:r>
          </w:p>
        </w:tc>
        <w:tc>
          <w:tcPr>
            <w:tcW w:w="2644" w:type="dxa"/>
            <w:tcBorders>
              <w:top w:val="single" w:color="000000" w:sz="4" w:space="0"/>
              <w:bottom w:val="single" w:color="000000" w:sz="4" w:space="0"/>
              <w:right w:val="single" w:color="000000" w:sz="4" w:space="0"/>
            </w:tcBorders>
            <w:shd w:val="clear" w:color="auto" w:fill="auto"/>
            <w:vAlign w:val="center"/>
          </w:tcPr>
          <w:p>
            <w:pPr>
              <w:spacing w:beforeLines="5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93.77</w:t>
            </w:r>
          </w:p>
        </w:tc>
      </w:tr>
    </w:tbl>
    <w:p>
      <w:pPr>
        <w:spacing w:line="48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2.信息化教学与资源建设</w:t>
      </w:r>
    </w:p>
    <w:p>
      <w:pPr>
        <w:widowControl w:val="0"/>
        <w:adjustRightInd w:val="0"/>
        <w:snapToGrid w:val="0"/>
        <w:spacing w:line="480" w:lineRule="exact"/>
        <w:ind w:firstLine="560" w:firstLineChars="200"/>
        <w:jc w:val="both"/>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依托高教社“智慧职教云”平台，学校组织在线开放课程（SPOC）建设，在建课程超过100门，上线使用达67门；建设和使用情况在全国高职高专院校中排名第一。学校有4门课程入选中国医学教育慕课联盟优秀在线课程项目，2门课程入选江苏省精品在线开放课程建设项目，两项课程数均为江苏卫生高职院校之首。信息化微课比赛国家级一等奖1项，省级一等奖3项，省级二等奖7项，省级三等奖12项；信息化教学比赛国家级三等奖1项，省级一等奖1项，省级二等奖8项，省级三等奖12项；MOOC人卫慕课4项，爱课程（中国大学MOOC）2项，智慧职教1项。</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p>
    <w:p>
      <w:pPr>
        <w:spacing w:beforeLines="50" w:line="440" w:lineRule="exact"/>
        <w:ind w:left="480"/>
        <w:jc w:val="both"/>
        <w:rPr>
          <w:b/>
          <w:bCs/>
          <w:sz w:val="28"/>
          <w:szCs w:val="28"/>
        </w:rPr>
      </w:pPr>
      <w:r>
        <w:rPr>
          <w:rFonts w:hint="eastAsia"/>
          <w:b/>
          <w:bCs/>
          <w:sz w:val="28"/>
          <w:szCs w:val="28"/>
        </w:rPr>
        <w:t>（五）学生全面发展与就业</w:t>
      </w:r>
    </w:p>
    <w:p>
      <w:pPr>
        <w:spacing w:line="440" w:lineRule="exact"/>
        <w:ind w:firstLine="562" w:firstLineChars="200"/>
        <w:jc w:val="both"/>
        <w:outlineLvl w:val="2"/>
        <w:rPr>
          <w:b/>
          <w:sz w:val="28"/>
          <w:szCs w:val="28"/>
        </w:rPr>
      </w:pPr>
      <w:r>
        <w:rPr>
          <w:rFonts w:hint="eastAsia"/>
          <w:b/>
          <w:sz w:val="28"/>
          <w:szCs w:val="28"/>
        </w:rPr>
        <w:t>1.多途径培养</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不断推进招生改革，优化生源结构。实行普通招生与提前招生、农村订单定向培养、分段培养、海外本科直通车等多种形式的培养，构建卫生人才培养立交桥。近3年招生计划完成情况良好（表5），2017年提前招生计划数达1100人，占计划招生人数38.46%。2017学年，全日制在校生数7832人（表6），近6成学生数分布在护理、临床医学和药学3个专业，护理、助产、临床医学和医学检验技术4个专业开展企业订单培养，临床医学、预防医学专业农村订单定向培养，订单学生数占在校学生总数5.82%，护理、药学专业招收留学生49人。近三年，我校文理科招生录取分数线始终保持苏中苏北33所高职院校前三，招生计划完成率达99%、报到率超过96%。</w:t>
      </w:r>
    </w:p>
    <w:p>
      <w:pPr>
        <w:spacing w:beforeLines="50" w:line="48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表5  2016-2017年招生计划完成情况</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3809"/>
        <w:gridCol w:w="1399"/>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028" w:type="dxa"/>
            <w:vAlign w:val="center"/>
          </w:tcPr>
          <w:p>
            <w:pPr>
              <w:widowControl w:val="0"/>
              <w:spacing w:beforeLines="50"/>
              <w:jc w:val="center"/>
              <w:outlineLvl w:val="2"/>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招生形式</w:t>
            </w:r>
          </w:p>
        </w:tc>
        <w:tc>
          <w:tcPr>
            <w:tcW w:w="3809" w:type="dxa"/>
            <w:vAlign w:val="center"/>
          </w:tcPr>
          <w:p>
            <w:pPr>
              <w:widowControl w:val="0"/>
              <w:spacing w:beforeLines="50"/>
              <w:jc w:val="center"/>
              <w:outlineLvl w:val="2"/>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指标</w:t>
            </w:r>
          </w:p>
        </w:tc>
        <w:tc>
          <w:tcPr>
            <w:tcW w:w="1399" w:type="dxa"/>
            <w:vAlign w:val="center"/>
          </w:tcPr>
          <w:p>
            <w:pPr>
              <w:widowControl w:val="0"/>
              <w:spacing w:beforeLines="50"/>
              <w:jc w:val="center"/>
              <w:outlineLvl w:val="2"/>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2016</w:t>
            </w:r>
          </w:p>
        </w:tc>
        <w:tc>
          <w:tcPr>
            <w:tcW w:w="1286" w:type="dxa"/>
            <w:vAlign w:val="center"/>
          </w:tcPr>
          <w:p>
            <w:pPr>
              <w:widowControl w:val="0"/>
              <w:spacing w:beforeLines="50"/>
              <w:jc w:val="center"/>
              <w:outlineLvl w:val="2"/>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2028" w:type="dxa"/>
            <w:vMerge w:val="restart"/>
            <w:vAlign w:val="center"/>
          </w:tcPr>
          <w:p>
            <w:pPr>
              <w:widowControl w:val="0"/>
              <w:spacing w:beforeLines="50"/>
              <w:jc w:val="center"/>
              <w:outlineLvl w:val="1"/>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统招招生</w:t>
            </w:r>
          </w:p>
        </w:tc>
        <w:tc>
          <w:tcPr>
            <w:tcW w:w="3809" w:type="dxa"/>
            <w:vAlign w:val="center"/>
          </w:tcPr>
          <w:p>
            <w:pPr>
              <w:widowControl w:val="0"/>
              <w:spacing w:beforeLines="50"/>
              <w:jc w:val="left"/>
              <w:outlineLvl w:val="1"/>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计划招生数（人）</w:t>
            </w:r>
          </w:p>
        </w:tc>
        <w:tc>
          <w:tcPr>
            <w:tcW w:w="1399" w:type="dxa"/>
            <w:vAlign w:val="center"/>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2440</w:t>
            </w:r>
          </w:p>
        </w:tc>
        <w:tc>
          <w:tcPr>
            <w:tcW w:w="1286" w:type="dxa"/>
            <w:vAlign w:val="center"/>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2028" w:type="dxa"/>
            <w:vMerge w:val="continue"/>
            <w:vAlign w:val="center"/>
          </w:tcPr>
          <w:p>
            <w:pPr>
              <w:widowControl w:val="0"/>
              <w:spacing w:beforeLines="50"/>
              <w:jc w:val="center"/>
              <w:outlineLvl w:val="1"/>
              <w:rPr>
                <w:rFonts w:asciiTheme="minorEastAsia" w:hAnsiTheme="minorEastAsia" w:eastAsiaTheme="minorEastAsia" w:cstheme="minorEastAsia"/>
                <w:bCs/>
                <w:sz w:val="21"/>
                <w:szCs w:val="21"/>
              </w:rPr>
            </w:pPr>
          </w:p>
        </w:tc>
        <w:tc>
          <w:tcPr>
            <w:tcW w:w="3809" w:type="dxa"/>
            <w:vAlign w:val="center"/>
          </w:tcPr>
          <w:p>
            <w:pPr>
              <w:widowControl w:val="0"/>
              <w:spacing w:beforeLines="50"/>
              <w:jc w:val="left"/>
              <w:outlineLvl w:val="1"/>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实际招生数（人）</w:t>
            </w:r>
          </w:p>
        </w:tc>
        <w:tc>
          <w:tcPr>
            <w:tcW w:w="1399" w:type="dxa"/>
            <w:vAlign w:val="center"/>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2430</w:t>
            </w:r>
          </w:p>
        </w:tc>
        <w:tc>
          <w:tcPr>
            <w:tcW w:w="1286" w:type="dxa"/>
            <w:vAlign w:val="center"/>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028" w:type="dxa"/>
            <w:vMerge w:val="continue"/>
            <w:vAlign w:val="center"/>
          </w:tcPr>
          <w:p>
            <w:pPr>
              <w:widowControl w:val="0"/>
              <w:spacing w:beforeLines="50"/>
              <w:jc w:val="center"/>
              <w:outlineLvl w:val="1"/>
              <w:rPr>
                <w:rFonts w:asciiTheme="minorEastAsia" w:hAnsiTheme="minorEastAsia" w:eastAsiaTheme="minorEastAsia" w:cstheme="minorEastAsia"/>
                <w:bCs/>
                <w:sz w:val="21"/>
                <w:szCs w:val="21"/>
              </w:rPr>
            </w:pPr>
          </w:p>
        </w:tc>
        <w:tc>
          <w:tcPr>
            <w:tcW w:w="3809" w:type="dxa"/>
            <w:vAlign w:val="center"/>
          </w:tcPr>
          <w:p>
            <w:pPr>
              <w:widowControl w:val="0"/>
              <w:spacing w:beforeLines="50"/>
              <w:jc w:val="left"/>
              <w:outlineLvl w:val="1"/>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其中：报考数（人）</w:t>
            </w:r>
          </w:p>
        </w:tc>
        <w:tc>
          <w:tcPr>
            <w:tcW w:w="1399" w:type="dxa"/>
            <w:vAlign w:val="center"/>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2351</w:t>
            </w:r>
          </w:p>
        </w:tc>
        <w:tc>
          <w:tcPr>
            <w:tcW w:w="1286" w:type="dxa"/>
            <w:vAlign w:val="center"/>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028" w:type="dxa"/>
            <w:vMerge w:val="restart"/>
            <w:vAlign w:val="center"/>
          </w:tcPr>
          <w:p>
            <w:pPr>
              <w:widowControl w:val="0"/>
              <w:spacing w:beforeLines="50"/>
              <w:jc w:val="center"/>
              <w:outlineLvl w:val="1"/>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提前招生</w:t>
            </w:r>
          </w:p>
        </w:tc>
        <w:tc>
          <w:tcPr>
            <w:tcW w:w="3809" w:type="dxa"/>
            <w:vAlign w:val="center"/>
          </w:tcPr>
          <w:p>
            <w:pPr>
              <w:widowControl w:val="0"/>
              <w:spacing w:beforeLines="50"/>
              <w:jc w:val="left"/>
              <w:outlineLvl w:val="1"/>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计划招生数（人）</w:t>
            </w:r>
          </w:p>
        </w:tc>
        <w:tc>
          <w:tcPr>
            <w:tcW w:w="1399" w:type="dxa"/>
            <w:vAlign w:val="center"/>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280</w:t>
            </w:r>
          </w:p>
        </w:tc>
        <w:tc>
          <w:tcPr>
            <w:tcW w:w="1286" w:type="dxa"/>
            <w:vAlign w:val="center"/>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028" w:type="dxa"/>
            <w:vMerge w:val="continue"/>
          </w:tcPr>
          <w:p>
            <w:pPr>
              <w:widowControl w:val="0"/>
              <w:spacing w:beforeLines="50"/>
              <w:jc w:val="left"/>
              <w:outlineLvl w:val="1"/>
              <w:rPr>
                <w:rFonts w:asciiTheme="minorEastAsia" w:hAnsiTheme="minorEastAsia" w:eastAsiaTheme="minorEastAsia" w:cstheme="minorEastAsia"/>
                <w:bCs/>
                <w:sz w:val="21"/>
                <w:szCs w:val="21"/>
              </w:rPr>
            </w:pPr>
          </w:p>
        </w:tc>
        <w:tc>
          <w:tcPr>
            <w:tcW w:w="3809" w:type="dxa"/>
            <w:vAlign w:val="center"/>
          </w:tcPr>
          <w:p>
            <w:pPr>
              <w:widowControl w:val="0"/>
              <w:spacing w:beforeLines="50"/>
              <w:jc w:val="left"/>
              <w:outlineLvl w:val="1"/>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实际招生数（人）</w:t>
            </w:r>
          </w:p>
        </w:tc>
        <w:tc>
          <w:tcPr>
            <w:tcW w:w="1399" w:type="dxa"/>
            <w:vAlign w:val="center"/>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360</w:t>
            </w:r>
          </w:p>
        </w:tc>
        <w:tc>
          <w:tcPr>
            <w:tcW w:w="1286" w:type="dxa"/>
            <w:vAlign w:val="center"/>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028" w:type="dxa"/>
            <w:vMerge w:val="continue"/>
          </w:tcPr>
          <w:p>
            <w:pPr>
              <w:widowControl w:val="0"/>
              <w:spacing w:beforeLines="50"/>
              <w:jc w:val="left"/>
              <w:outlineLvl w:val="1"/>
              <w:rPr>
                <w:rFonts w:asciiTheme="minorEastAsia" w:hAnsiTheme="minorEastAsia" w:eastAsiaTheme="minorEastAsia" w:cstheme="minorEastAsia"/>
                <w:bCs/>
                <w:sz w:val="21"/>
                <w:szCs w:val="21"/>
              </w:rPr>
            </w:pPr>
          </w:p>
        </w:tc>
        <w:tc>
          <w:tcPr>
            <w:tcW w:w="3809" w:type="dxa"/>
            <w:vAlign w:val="center"/>
          </w:tcPr>
          <w:p>
            <w:pPr>
              <w:widowControl w:val="0"/>
              <w:spacing w:beforeLines="50"/>
              <w:jc w:val="left"/>
              <w:outlineLvl w:val="1"/>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其中：提前招生报名数（人）</w:t>
            </w:r>
          </w:p>
        </w:tc>
        <w:tc>
          <w:tcPr>
            <w:tcW w:w="1399" w:type="dxa"/>
            <w:vAlign w:val="center"/>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552</w:t>
            </w:r>
          </w:p>
        </w:tc>
        <w:tc>
          <w:tcPr>
            <w:tcW w:w="1286" w:type="dxa"/>
            <w:vAlign w:val="center"/>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1327</w:t>
            </w:r>
          </w:p>
        </w:tc>
      </w:tr>
    </w:tbl>
    <w:p>
      <w:pPr>
        <w:spacing w:beforeLines="50"/>
        <w:jc w:val="center"/>
        <w:rPr>
          <w:rFonts w:hint="eastAsia" w:asciiTheme="minorEastAsia" w:hAnsiTheme="minorEastAsia" w:eastAsiaTheme="minorEastAsia" w:cstheme="minorEastAsia"/>
          <w:b/>
          <w:bCs/>
          <w:sz w:val="21"/>
          <w:szCs w:val="21"/>
        </w:rPr>
      </w:pPr>
    </w:p>
    <w:p>
      <w:pPr>
        <w:spacing w:beforeLines="50"/>
        <w:jc w:val="center"/>
        <w:rPr>
          <w:rFonts w:hint="eastAsia" w:asciiTheme="minorEastAsia" w:hAnsiTheme="minorEastAsia" w:eastAsiaTheme="minorEastAsia" w:cstheme="minorEastAsia"/>
          <w:b/>
          <w:bCs/>
          <w:sz w:val="21"/>
          <w:szCs w:val="21"/>
        </w:rPr>
      </w:pPr>
    </w:p>
    <w:p>
      <w:pPr>
        <w:spacing w:beforeLines="50"/>
        <w:jc w:val="center"/>
        <w:rPr>
          <w:rFonts w:hint="eastAsia" w:asciiTheme="minorEastAsia" w:hAnsiTheme="minorEastAsia" w:eastAsiaTheme="minorEastAsia" w:cstheme="minorEastAsia"/>
          <w:b/>
          <w:bCs/>
          <w:sz w:val="21"/>
          <w:szCs w:val="21"/>
        </w:rPr>
      </w:pPr>
    </w:p>
    <w:p>
      <w:pPr>
        <w:spacing w:beforeLines="50"/>
        <w:jc w:val="center"/>
        <w:rPr>
          <w:rFonts w:hint="eastAsia" w:asciiTheme="minorEastAsia" w:hAnsiTheme="minorEastAsia" w:eastAsiaTheme="minorEastAsia" w:cstheme="minorEastAsia"/>
          <w:b/>
          <w:bCs/>
          <w:sz w:val="21"/>
          <w:szCs w:val="21"/>
        </w:rPr>
      </w:pPr>
    </w:p>
    <w:p>
      <w:pPr>
        <w:spacing w:beforeLines="50"/>
        <w:jc w:val="center"/>
        <w:rPr>
          <w:rFonts w:hint="eastAsia" w:asciiTheme="minorEastAsia" w:hAnsiTheme="minorEastAsia" w:eastAsiaTheme="minorEastAsia" w:cstheme="minorEastAsia"/>
          <w:b/>
          <w:bCs/>
          <w:sz w:val="21"/>
          <w:szCs w:val="21"/>
        </w:rPr>
      </w:pPr>
    </w:p>
    <w:p>
      <w:pPr>
        <w:spacing w:beforeLines="50"/>
        <w:jc w:val="center"/>
        <w:rPr>
          <w:rFonts w:hint="eastAsia" w:asciiTheme="minorEastAsia" w:hAnsiTheme="minorEastAsia" w:eastAsiaTheme="minorEastAsia" w:cstheme="minorEastAsia"/>
          <w:b/>
          <w:bCs/>
          <w:sz w:val="21"/>
          <w:szCs w:val="21"/>
        </w:rPr>
      </w:pPr>
    </w:p>
    <w:p>
      <w:pPr>
        <w:spacing w:beforeLines="50" w:line="480" w:lineRule="exact"/>
        <w:jc w:val="center"/>
        <w:rPr>
          <w:rFonts w:hint="eastAsia" w:asciiTheme="minorEastAsia" w:hAnsiTheme="minorEastAsia" w:eastAsiaTheme="minorEastAsia" w:cstheme="minorEastAsia"/>
          <w:b/>
          <w:bCs/>
          <w:sz w:val="21"/>
          <w:szCs w:val="21"/>
        </w:rPr>
      </w:pPr>
    </w:p>
    <w:p>
      <w:pPr>
        <w:spacing w:beforeLines="50" w:line="480" w:lineRule="exact"/>
        <w:jc w:val="center"/>
        <w:rPr>
          <w:rFonts w:hint="eastAsia" w:asciiTheme="minorEastAsia" w:hAnsiTheme="minorEastAsia" w:eastAsiaTheme="minorEastAsia" w:cstheme="minorEastAsia"/>
          <w:b/>
          <w:bCs/>
          <w:sz w:val="21"/>
          <w:szCs w:val="21"/>
        </w:rPr>
      </w:pPr>
    </w:p>
    <w:p>
      <w:pPr>
        <w:spacing w:beforeLines="50" w:line="44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表6  2017年专业点学生分布情况</w:t>
      </w:r>
    </w:p>
    <w:tbl>
      <w:tblPr>
        <w:tblStyle w:val="7"/>
        <w:tblpPr w:leftFromText="180" w:rightFromText="180" w:vertAnchor="text" w:horzAnchor="page" w:tblpX="1814" w:tblpY="39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740"/>
        <w:gridCol w:w="1320"/>
        <w:gridCol w:w="1813"/>
        <w:gridCol w:w="1141"/>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654" w:type="dxa"/>
            <w:vAlign w:val="center"/>
          </w:tcPr>
          <w:p>
            <w:pPr>
              <w:widowControl w:val="0"/>
              <w:spacing w:beforeLines="5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740" w:type="dxa"/>
            <w:vAlign w:val="center"/>
          </w:tcPr>
          <w:p>
            <w:pPr>
              <w:widowControl w:val="0"/>
              <w:spacing w:beforeLines="5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专业名称</w:t>
            </w:r>
          </w:p>
        </w:tc>
        <w:tc>
          <w:tcPr>
            <w:tcW w:w="1320" w:type="dxa"/>
            <w:vAlign w:val="center"/>
          </w:tcPr>
          <w:p>
            <w:pPr>
              <w:widowControl w:val="0"/>
              <w:spacing w:beforeLines="5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在校生（人）</w:t>
            </w:r>
          </w:p>
        </w:tc>
        <w:tc>
          <w:tcPr>
            <w:tcW w:w="1813" w:type="dxa"/>
            <w:vAlign w:val="center"/>
          </w:tcPr>
          <w:p>
            <w:pPr>
              <w:widowControl w:val="0"/>
              <w:spacing w:beforeLines="5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专业学生占比（%）</w:t>
            </w:r>
          </w:p>
        </w:tc>
        <w:tc>
          <w:tcPr>
            <w:tcW w:w="1141" w:type="dxa"/>
            <w:vAlign w:val="center"/>
          </w:tcPr>
          <w:p>
            <w:pPr>
              <w:widowControl w:val="0"/>
              <w:spacing w:beforeLines="5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订单（人）</w:t>
            </w:r>
          </w:p>
        </w:tc>
        <w:tc>
          <w:tcPr>
            <w:tcW w:w="1854" w:type="dxa"/>
            <w:vAlign w:val="center"/>
          </w:tcPr>
          <w:p>
            <w:pPr>
              <w:widowControl w:val="0"/>
              <w:spacing w:beforeLines="5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订单学生占比（%）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司法鉴定技术</w:t>
            </w:r>
          </w:p>
        </w:tc>
        <w:tc>
          <w:tcPr>
            <w:tcW w:w="1320" w:type="dxa"/>
          </w:tcPr>
          <w:p>
            <w:pPr>
              <w:widowControl/>
              <w:spacing w:beforeLines="50"/>
              <w:jc w:val="center"/>
              <w:textAlignment w:val="center"/>
              <w:rPr>
                <w:color w:val="000000"/>
                <w:sz w:val="22"/>
                <w:szCs w:val="22"/>
              </w:rPr>
            </w:pPr>
            <w:r>
              <w:rPr>
                <w:rFonts w:hint="eastAsia"/>
                <w:color w:val="000000"/>
                <w:sz w:val="22"/>
                <w:szCs w:val="22"/>
              </w:rPr>
              <w:t>74</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0.94</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医学影像技术</w:t>
            </w:r>
          </w:p>
        </w:tc>
        <w:tc>
          <w:tcPr>
            <w:tcW w:w="1320" w:type="dxa"/>
          </w:tcPr>
          <w:p>
            <w:pPr>
              <w:widowControl/>
              <w:spacing w:beforeLines="50"/>
              <w:jc w:val="center"/>
              <w:textAlignment w:val="center"/>
              <w:rPr>
                <w:color w:val="000000"/>
                <w:sz w:val="22"/>
                <w:szCs w:val="22"/>
              </w:rPr>
            </w:pPr>
            <w:r>
              <w:rPr>
                <w:rFonts w:hint="eastAsia"/>
                <w:color w:val="000000"/>
                <w:sz w:val="22"/>
                <w:szCs w:val="22"/>
              </w:rPr>
              <w:t>540</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6.89</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医学检验技术</w:t>
            </w:r>
          </w:p>
        </w:tc>
        <w:tc>
          <w:tcPr>
            <w:tcW w:w="1320" w:type="dxa"/>
          </w:tcPr>
          <w:p>
            <w:pPr>
              <w:widowControl/>
              <w:spacing w:beforeLines="50"/>
              <w:jc w:val="center"/>
              <w:textAlignment w:val="center"/>
              <w:rPr>
                <w:color w:val="000000"/>
                <w:sz w:val="22"/>
                <w:szCs w:val="22"/>
              </w:rPr>
            </w:pPr>
            <w:r>
              <w:rPr>
                <w:rFonts w:hint="eastAsia"/>
                <w:color w:val="000000"/>
                <w:sz w:val="22"/>
                <w:szCs w:val="22"/>
              </w:rPr>
              <w:t>458</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5.85</w:t>
            </w:r>
          </w:p>
        </w:tc>
        <w:tc>
          <w:tcPr>
            <w:tcW w:w="1141" w:type="dxa"/>
            <w:vAlign w:val="center"/>
          </w:tcPr>
          <w:p>
            <w:pPr>
              <w:widowControl/>
              <w:spacing w:beforeLines="50"/>
              <w:jc w:val="center"/>
              <w:textAlignment w:val="center"/>
              <w:rPr>
                <w:color w:val="000000"/>
                <w:sz w:val="22"/>
                <w:szCs w:val="22"/>
              </w:rPr>
            </w:pPr>
            <w:r>
              <w:rPr>
                <w:rFonts w:hint="eastAsia"/>
                <w:color w:val="000000"/>
                <w:sz w:val="22"/>
                <w:szCs w:val="22"/>
              </w:rPr>
              <w:t>12</w:t>
            </w:r>
          </w:p>
        </w:tc>
        <w:tc>
          <w:tcPr>
            <w:tcW w:w="1854" w:type="dxa"/>
            <w:vAlign w:val="center"/>
          </w:tcPr>
          <w:p>
            <w:pPr>
              <w:widowControl/>
              <w:spacing w:beforeLines="50"/>
              <w:jc w:val="center"/>
              <w:textAlignment w:val="center"/>
              <w:rPr>
                <w:color w:val="000000"/>
                <w:sz w:val="22"/>
                <w:szCs w:val="22"/>
              </w:rPr>
            </w:pPr>
            <w:r>
              <w:rPr>
                <w:rFonts w:hint="eastAsia"/>
                <w:color w:val="000000"/>
                <w:sz w:val="22"/>
                <w:szCs w:val="22"/>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中医康复技术</w:t>
            </w:r>
          </w:p>
        </w:tc>
        <w:tc>
          <w:tcPr>
            <w:tcW w:w="1320" w:type="dxa"/>
          </w:tcPr>
          <w:p>
            <w:pPr>
              <w:widowControl/>
              <w:spacing w:beforeLines="50"/>
              <w:jc w:val="center"/>
              <w:textAlignment w:val="center"/>
              <w:rPr>
                <w:color w:val="000000"/>
                <w:sz w:val="22"/>
                <w:szCs w:val="22"/>
              </w:rPr>
            </w:pPr>
            <w:r>
              <w:rPr>
                <w:rFonts w:hint="eastAsia"/>
                <w:color w:val="000000"/>
                <w:sz w:val="22"/>
                <w:szCs w:val="22"/>
              </w:rPr>
              <w:t>71</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0.91</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康复治疗技术</w:t>
            </w:r>
          </w:p>
        </w:tc>
        <w:tc>
          <w:tcPr>
            <w:tcW w:w="1320" w:type="dxa"/>
          </w:tcPr>
          <w:p>
            <w:pPr>
              <w:widowControl/>
              <w:spacing w:beforeLines="50"/>
              <w:jc w:val="center"/>
              <w:textAlignment w:val="center"/>
              <w:rPr>
                <w:color w:val="000000"/>
                <w:sz w:val="22"/>
                <w:szCs w:val="22"/>
              </w:rPr>
            </w:pPr>
            <w:r>
              <w:rPr>
                <w:rFonts w:hint="eastAsia"/>
                <w:color w:val="000000"/>
                <w:sz w:val="22"/>
                <w:szCs w:val="22"/>
              </w:rPr>
              <w:t>496</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6.33</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临床医学</w:t>
            </w:r>
          </w:p>
        </w:tc>
        <w:tc>
          <w:tcPr>
            <w:tcW w:w="1320" w:type="dxa"/>
          </w:tcPr>
          <w:p>
            <w:pPr>
              <w:widowControl/>
              <w:spacing w:beforeLines="50"/>
              <w:jc w:val="center"/>
              <w:textAlignment w:val="center"/>
              <w:rPr>
                <w:color w:val="000000"/>
                <w:sz w:val="22"/>
                <w:szCs w:val="22"/>
              </w:rPr>
            </w:pPr>
            <w:r>
              <w:rPr>
                <w:rFonts w:hint="eastAsia"/>
                <w:color w:val="000000"/>
                <w:sz w:val="22"/>
                <w:szCs w:val="22"/>
              </w:rPr>
              <w:t>1237</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15.79</w:t>
            </w:r>
          </w:p>
        </w:tc>
        <w:tc>
          <w:tcPr>
            <w:tcW w:w="1141" w:type="dxa"/>
            <w:vAlign w:val="center"/>
          </w:tcPr>
          <w:p>
            <w:pPr>
              <w:widowControl/>
              <w:spacing w:beforeLines="50"/>
              <w:jc w:val="center"/>
              <w:textAlignment w:val="center"/>
              <w:rPr>
                <w:color w:val="000000"/>
                <w:sz w:val="22"/>
                <w:szCs w:val="22"/>
              </w:rPr>
            </w:pPr>
            <w:r>
              <w:rPr>
                <w:rFonts w:hint="eastAsia"/>
                <w:color w:val="000000"/>
                <w:sz w:val="22"/>
                <w:szCs w:val="22"/>
              </w:rPr>
              <w:t>33</w:t>
            </w:r>
          </w:p>
        </w:tc>
        <w:tc>
          <w:tcPr>
            <w:tcW w:w="1854" w:type="dxa"/>
            <w:vAlign w:val="center"/>
          </w:tcPr>
          <w:p>
            <w:pPr>
              <w:widowControl/>
              <w:spacing w:beforeLines="50"/>
              <w:jc w:val="center"/>
              <w:textAlignment w:val="center"/>
              <w:rPr>
                <w:color w:val="000000"/>
                <w:sz w:val="22"/>
                <w:szCs w:val="22"/>
              </w:rPr>
            </w:pPr>
            <w:r>
              <w:rPr>
                <w:rFonts w:hint="eastAsia"/>
                <w:color w:val="000000"/>
                <w:sz w:val="22"/>
                <w:szCs w:val="22"/>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中药学</w:t>
            </w:r>
          </w:p>
        </w:tc>
        <w:tc>
          <w:tcPr>
            <w:tcW w:w="1320" w:type="dxa"/>
          </w:tcPr>
          <w:p>
            <w:pPr>
              <w:widowControl/>
              <w:spacing w:beforeLines="50"/>
              <w:jc w:val="center"/>
              <w:textAlignment w:val="center"/>
              <w:rPr>
                <w:color w:val="000000"/>
                <w:sz w:val="22"/>
                <w:szCs w:val="22"/>
              </w:rPr>
            </w:pPr>
            <w:r>
              <w:rPr>
                <w:rFonts w:hint="eastAsia"/>
                <w:color w:val="000000"/>
                <w:sz w:val="22"/>
                <w:szCs w:val="22"/>
              </w:rPr>
              <w:t>216</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2.76</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护理</w:t>
            </w:r>
          </w:p>
        </w:tc>
        <w:tc>
          <w:tcPr>
            <w:tcW w:w="1320" w:type="dxa"/>
          </w:tcPr>
          <w:p>
            <w:pPr>
              <w:widowControl/>
              <w:spacing w:beforeLines="50"/>
              <w:jc w:val="center"/>
              <w:textAlignment w:val="center"/>
              <w:rPr>
                <w:color w:val="000000"/>
                <w:sz w:val="22"/>
                <w:szCs w:val="22"/>
              </w:rPr>
            </w:pPr>
            <w:r>
              <w:rPr>
                <w:rFonts w:hint="eastAsia"/>
                <w:color w:val="000000"/>
                <w:sz w:val="22"/>
                <w:szCs w:val="22"/>
              </w:rPr>
              <w:t>2399</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30.63</w:t>
            </w:r>
          </w:p>
        </w:tc>
        <w:tc>
          <w:tcPr>
            <w:tcW w:w="1141" w:type="dxa"/>
            <w:vAlign w:val="center"/>
          </w:tcPr>
          <w:p>
            <w:pPr>
              <w:widowControl/>
              <w:spacing w:beforeLines="50"/>
              <w:jc w:val="center"/>
              <w:textAlignment w:val="center"/>
              <w:rPr>
                <w:color w:val="000000"/>
                <w:sz w:val="22"/>
                <w:szCs w:val="22"/>
              </w:rPr>
            </w:pPr>
            <w:r>
              <w:rPr>
                <w:rFonts w:hint="eastAsia"/>
                <w:color w:val="000000"/>
                <w:sz w:val="22"/>
                <w:szCs w:val="22"/>
              </w:rPr>
              <w:t>360</w:t>
            </w:r>
          </w:p>
        </w:tc>
        <w:tc>
          <w:tcPr>
            <w:tcW w:w="1854" w:type="dxa"/>
            <w:vAlign w:val="center"/>
          </w:tcPr>
          <w:p>
            <w:pPr>
              <w:widowControl/>
              <w:spacing w:beforeLines="50"/>
              <w:jc w:val="center"/>
              <w:textAlignment w:val="center"/>
              <w:rPr>
                <w:color w:val="000000"/>
                <w:sz w:val="22"/>
                <w:szCs w:val="22"/>
              </w:rPr>
            </w:pPr>
            <w:r>
              <w:rPr>
                <w:rFonts w:hint="eastAsia"/>
                <w:color w:val="000000"/>
                <w:sz w:val="22"/>
                <w:szCs w:val="22"/>
              </w:rPr>
              <w:t>15.01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医学美容技术</w:t>
            </w:r>
          </w:p>
        </w:tc>
        <w:tc>
          <w:tcPr>
            <w:tcW w:w="1320" w:type="dxa"/>
          </w:tcPr>
          <w:p>
            <w:pPr>
              <w:widowControl/>
              <w:spacing w:beforeLines="50"/>
              <w:jc w:val="center"/>
              <w:textAlignment w:val="center"/>
              <w:rPr>
                <w:color w:val="000000"/>
                <w:sz w:val="22"/>
                <w:szCs w:val="22"/>
              </w:rPr>
            </w:pPr>
            <w:r>
              <w:rPr>
                <w:rFonts w:hint="eastAsia"/>
                <w:color w:val="000000"/>
                <w:sz w:val="22"/>
                <w:szCs w:val="22"/>
              </w:rPr>
              <w:t>141</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1.80</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口腔医学技术</w:t>
            </w:r>
          </w:p>
        </w:tc>
        <w:tc>
          <w:tcPr>
            <w:tcW w:w="1320" w:type="dxa"/>
          </w:tcPr>
          <w:p>
            <w:pPr>
              <w:widowControl/>
              <w:spacing w:beforeLines="50"/>
              <w:jc w:val="center"/>
              <w:textAlignment w:val="center"/>
              <w:rPr>
                <w:color w:val="000000"/>
                <w:sz w:val="22"/>
                <w:szCs w:val="22"/>
              </w:rPr>
            </w:pPr>
            <w:r>
              <w:rPr>
                <w:rFonts w:hint="eastAsia"/>
                <w:color w:val="000000"/>
                <w:sz w:val="22"/>
                <w:szCs w:val="22"/>
              </w:rPr>
              <w:t>128</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1.63</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康复工程技术</w:t>
            </w:r>
          </w:p>
        </w:tc>
        <w:tc>
          <w:tcPr>
            <w:tcW w:w="1320" w:type="dxa"/>
          </w:tcPr>
          <w:p>
            <w:pPr>
              <w:widowControl/>
              <w:spacing w:beforeLines="50"/>
              <w:jc w:val="center"/>
              <w:textAlignment w:val="center"/>
              <w:rPr>
                <w:color w:val="000000"/>
                <w:sz w:val="22"/>
                <w:szCs w:val="22"/>
              </w:rPr>
            </w:pPr>
            <w:r>
              <w:rPr>
                <w:rFonts w:hint="eastAsia"/>
                <w:color w:val="000000"/>
                <w:sz w:val="22"/>
                <w:szCs w:val="22"/>
              </w:rPr>
              <w:t>60</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0.77</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助产</w:t>
            </w:r>
          </w:p>
        </w:tc>
        <w:tc>
          <w:tcPr>
            <w:tcW w:w="1320" w:type="dxa"/>
          </w:tcPr>
          <w:p>
            <w:pPr>
              <w:widowControl/>
              <w:spacing w:beforeLines="50"/>
              <w:jc w:val="center"/>
              <w:textAlignment w:val="center"/>
              <w:rPr>
                <w:color w:val="000000"/>
                <w:sz w:val="22"/>
                <w:szCs w:val="22"/>
              </w:rPr>
            </w:pPr>
            <w:r>
              <w:rPr>
                <w:rFonts w:hint="eastAsia"/>
                <w:color w:val="000000"/>
                <w:sz w:val="22"/>
                <w:szCs w:val="22"/>
              </w:rPr>
              <w:t>390</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4.98</w:t>
            </w:r>
          </w:p>
        </w:tc>
        <w:tc>
          <w:tcPr>
            <w:tcW w:w="1141" w:type="dxa"/>
            <w:vAlign w:val="center"/>
          </w:tcPr>
          <w:p>
            <w:pPr>
              <w:widowControl/>
              <w:spacing w:beforeLines="50"/>
              <w:jc w:val="center"/>
              <w:textAlignment w:val="center"/>
              <w:rPr>
                <w:color w:val="000000"/>
                <w:sz w:val="22"/>
                <w:szCs w:val="22"/>
              </w:rPr>
            </w:pPr>
            <w:r>
              <w:rPr>
                <w:rFonts w:hint="eastAsia"/>
                <w:color w:val="000000"/>
                <w:sz w:val="22"/>
                <w:szCs w:val="22"/>
              </w:rPr>
              <w:t>51</w:t>
            </w:r>
          </w:p>
        </w:tc>
        <w:tc>
          <w:tcPr>
            <w:tcW w:w="1854" w:type="dxa"/>
            <w:vAlign w:val="center"/>
          </w:tcPr>
          <w:p>
            <w:pPr>
              <w:widowControl/>
              <w:spacing w:beforeLines="50"/>
              <w:jc w:val="center"/>
              <w:textAlignment w:val="center"/>
              <w:rPr>
                <w:color w:val="000000"/>
                <w:sz w:val="22"/>
                <w:szCs w:val="22"/>
              </w:rPr>
            </w:pPr>
            <w:r>
              <w:rPr>
                <w:rFonts w:hint="eastAsia"/>
                <w:color w:val="000000"/>
                <w:sz w:val="22"/>
                <w:szCs w:val="22"/>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13</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药学</w:t>
            </w:r>
          </w:p>
        </w:tc>
        <w:tc>
          <w:tcPr>
            <w:tcW w:w="1320" w:type="dxa"/>
          </w:tcPr>
          <w:p>
            <w:pPr>
              <w:widowControl/>
              <w:spacing w:beforeLines="50"/>
              <w:jc w:val="center"/>
              <w:textAlignment w:val="center"/>
              <w:rPr>
                <w:color w:val="000000"/>
                <w:sz w:val="22"/>
                <w:szCs w:val="22"/>
              </w:rPr>
            </w:pPr>
            <w:r>
              <w:rPr>
                <w:rFonts w:hint="eastAsia"/>
                <w:color w:val="000000"/>
                <w:sz w:val="22"/>
                <w:szCs w:val="22"/>
              </w:rPr>
              <w:t>926</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11.82</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14</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药品生产技术</w:t>
            </w:r>
          </w:p>
        </w:tc>
        <w:tc>
          <w:tcPr>
            <w:tcW w:w="1320" w:type="dxa"/>
          </w:tcPr>
          <w:p>
            <w:pPr>
              <w:widowControl/>
              <w:spacing w:beforeLines="50"/>
              <w:jc w:val="center"/>
              <w:textAlignment w:val="center"/>
              <w:rPr>
                <w:color w:val="000000"/>
                <w:sz w:val="22"/>
                <w:szCs w:val="22"/>
              </w:rPr>
            </w:pPr>
            <w:r>
              <w:rPr>
                <w:rFonts w:hint="eastAsia"/>
                <w:color w:val="000000"/>
                <w:sz w:val="22"/>
                <w:szCs w:val="22"/>
              </w:rPr>
              <w:t>114</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1.46</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预防医学</w:t>
            </w:r>
          </w:p>
        </w:tc>
        <w:tc>
          <w:tcPr>
            <w:tcW w:w="1320" w:type="dxa"/>
          </w:tcPr>
          <w:p>
            <w:pPr>
              <w:widowControl/>
              <w:spacing w:beforeLines="50"/>
              <w:jc w:val="center"/>
              <w:textAlignment w:val="center"/>
              <w:rPr>
                <w:color w:val="000000"/>
                <w:sz w:val="22"/>
                <w:szCs w:val="22"/>
              </w:rPr>
            </w:pPr>
            <w:r>
              <w:rPr>
                <w:rFonts w:hint="eastAsia"/>
                <w:color w:val="000000"/>
                <w:sz w:val="22"/>
                <w:szCs w:val="22"/>
              </w:rPr>
              <w:t>295</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3.77</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16</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药品经营与管理</w:t>
            </w:r>
          </w:p>
        </w:tc>
        <w:tc>
          <w:tcPr>
            <w:tcW w:w="1320" w:type="dxa"/>
          </w:tcPr>
          <w:p>
            <w:pPr>
              <w:widowControl/>
              <w:spacing w:beforeLines="50"/>
              <w:jc w:val="center"/>
              <w:textAlignment w:val="center"/>
              <w:rPr>
                <w:color w:val="000000"/>
                <w:sz w:val="22"/>
                <w:szCs w:val="22"/>
              </w:rPr>
            </w:pPr>
            <w:r>
              <w:rPr>
                <w:rFonts w:hint="eastAsia"/>
                <w:color w:val="000000"/>
                <w:sz w:val="22"/>
                <w:szCs w:val="22"/>
              </w:rPr>
              <w:t>116</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1.48</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17</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卫生信息管理</w:t>
            </w:r>
          </w:p>
        </w:tc>
        <w:tc>
          <w:tcPr>
            <w:tcW w:w="1320" w:type="dxa"/>
          </w:tcPr>
          <w:p>
            <w:pPr>
              <w:widowControl/>
              <w:spacing w:beforeLines="50"/>
              <w:jc w:val="center"/>
              <w:textAlignment w:val="center"/>
              <w:rPr>
                <w:color w:val="000000"/>
                <w:sz w:val="22"/>
                <w:szCs w:val="22"/>
              </w:rPr>
            </w:pPr>
            <w:r>
              <w:rPr>
                <w:rFonts w:hint="eastAsia"/>
                <w:color w:val="000000"/>
                <w:sz w:val="22"/>
                <w:szCs w:val="22"/>
              </w:rPr>
              <w:t>68</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0.87</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18</w:t>
            </w:r>
          </w:p>
        </w:tc>
        <w:tc>
          <w:tcPr>
            <w:tcW w:w="1740" w:type="dxa"/>
          </w:tcPr>
          <w:p>
            <w:pPr>
              <w:widowControl w:val="0"/>
              <w:spacing w:beforeLines="50"/>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医疗设备应用</w:t>
            </w:r>
          </w:p>
        </w:tc>
        <w:tc>
          <w:tcPr>
            <w:tcW w:w="1320" w:type="dxa"/>
          </w:tcPr>
          <w:p>
            <w:pPr>
              <w:widowControl/>
              <w:spacing w:beforeLines="50"/>
              <w:jc w:val="center"/>
              <w:textAlignment w:val="center"/>
              <w:rPr>
                <w:color w:val="000000"/>
                <w:sz w:val="22"/>
                <w:szCs w:val="22"/>
              </w:rPr>
            </w:pPr>
            <w:r>
              <w:rPr>
                <w:rFonts w:hint="eastAsia"/>
                <w:color w:val="000000"/>
                <w:sz w:val="22"/>
                <w:szCs w:val="22"/>
              </w:rPr>
              <w:t>103</w:t>
            </w:r>
          </w:p>
        </w:tc>
        <w:tc>
          <w:tcPr>
            <w:tcW w:w="1813" w:type="dxa"/>
            <w:vAlign w:val="center"/>
          </w:tcPr>
          <w:p>
            <w:pPr>
              <w:widowControl/>
              <w:spacing w:beforeLines="50"/>
              <w:jc w:val="center"/>
              <w:textAlignment w:val="center"/>
              <w:rPr>
                <w:rFonts w:asciiTheme="minorEastAsia" w:hAnsiTheme="minorEastAsia" w:eastAsiaTheme="minorEastAsia" w:cstheme="minorEastAsia"/>
                <w:bCs/>
                <w:sz w:val="21"/>
                <w:szCs w:val="21"/>
              </w:rPr>
            </w:pPr>
            <w:r>
              <w:rPr>
                <w:rFonts w:hint="eastAsia"/>
                <w:color w:val="000000"/>
                <w:sz w:val="22"/>
                <w:szCs w:val="22"/>
              </w:rPr>
              <w:t>1.32</w:t>
            </w:r>
          </w:p>
        </w:tc>
        <w:tc>
          <w:tcPr>
            <w:tcW w:w="1141" w:type="dxa"/>
            <w:vAlign w:val="center"/>
          </w:tcPr>
          <w:p>
            <w:pPr>
              <w:widowControl/>
              <w:spacing w:beforeLines="50"/>
              <w:jc w:val="center"/>
              <w:textAlignment w:val="center"/>
              <w:rPr>
                <w:color w:val="000000"/>
                <w:sz w:val="22"/>
                <w:szCs w:val="22"/>
              </w:rPr>
            </w:pPr>
          </w:p>
        </w:tc>
        <w:tc>
          <w:tcPr>
            <w:tcW w:w="1854" w:type="dxa"/>
            <w:vAlign w:val="center"/>
          </w:tcPr>
          <w:p>
            <w:pPr>
              <w:widowControl/>
              <w:spacing w:beforeLines="50"/>
              <w:jc w:val="center"/>
              <w:textAlignment w:val="cente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94" w:type="dxa"/>
            <w:gridSpan w:val="2"/>
          </w:tcPr>
          <w:p>
            <w:pPr>
              <w:widowControl/>
              <w:spacing w:beforeLines="5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合计</w:t>
            </w:r>
          </w:p>
        </w:tc>
        <w:tc>
          <w:tcPr>
            <w:tcW w:w="1320" w:type="dxa"/>
          </w:tcPr>
          <w:p>
            <w:pPr>
              <w:widowControl/>
              <w:spacing w:beforeLines="50"/>
              <w:jc w:val="center"/>
              <w:textAlignment w:val="center"/>
              <w:rPr>
                <w:color w:val="000000"/>
                <w:sz w:val="22"/>
                <w:szCs w:val="22"/>
              </w:rPr>
            </w:pPr>
            <w:r>
              <w:rPr>
                <w:rFonts w:hint="eastAsia"/>
                <w:color w:val="000000"/>
                <w:sz w:val="22"/>
                <w:szCs w:val="22"/>
              </w:rPr>
              <w:t>7832</w:t>
            </w:r>
          </w:p>
        </w:tc>
        <w:tc>
          <w:tcPr>
            <w:tcW w:w="1813" w:type="dxa"/>
          </w:tcPr>
          <w:p>
            <w:pPr>
              <w:widowControl/>
              <w:spacing w:beforeLines="5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100.00</w:t>
            </w:r>
          </w:p>
        </w:tc>
        <w:tc>
          <w:tcPr>
            <w:tcW w:w="1141" w:type="dxa"/>
          </w:tcPr>
          <w:p>
            <w:pPr>
              <w:widowControl/>
              <w:spacing w:beforeLines="50"/>
              <w:jc w:val="center"/>
              <w:textAlignment w:val="center"/>
              <w:rPr>
                <w:rFonts w:asciiTheme="minorEastAsia" w:hAnsiTheme="minorEastAsia" w:eastAsiaTheme="minorEastAsia" w:cstheme="minorEastAsia"/>
                <w:color w:val="000000"/>
                <w:sz w:val="21"/>
                <w:szCs w:val="21"/>
              </w:rPr>
            </w:pPr>
          </w:p>
        </w:tc>
        <w:tc>
          <w:tcPr>
            <w:tcW w:w="1854" w:type="dxa"/>
          </w:tcPr>
          <w:p>
            <w:pPr>
              <w:widowControl/>
              <w:spacing w:beforeLines="50"/>
              <w:jc w:val="center"/>
              <w:textAlignment w:val="center"/>
              <w:rPr>
                <w:rFonts w:asciiTheme="minorEastAsia" w:hAnsiTheme="minorEastAsia" w:eastAsiaTheme="minorEastAsia" w:cstheme="minorEastAsia"/>
                <w:color w:val="000000"/>
                <w:sz w:val="21"/>
                <w:szCs w:val="21"/>
              </w:rPr>
            </w:pPr>
          </w:p>
        </w:tc>
      </w:tr>
    </w:tbl>
    <w:p>
      <w:pPr>
        <w:spacing w:line="440" w:lineRule="exact"/>
        <w:ind w:firstLine="562" w:firstLineChars="200"/>
        <w:jc w:val="both"/>
        <w:outlineLvl w:val="2"/>
        <w:rPr>
          <w:b/>
          <w:bCs/>
          <w:sz w:val="28"/>
          <w:szCs w:val="28"/>
        </w:rPr>
      </w:pPr>
      <w:bookmarkStart w:id="0" w:name="_Toc435803462"/>
      <w:bookmarkStart w:id="1" w:name="_Toc412989110"/>
      <w:r>
        <w:rPr>
          <w:rFonts w:hint="eastAsia"/>
          <w:b/>
          <w:bCs/>
          <w:sz w:val="28"/>
          <w:szCs w:val="28"/>
        </w:rPr>
        <w:t>2.促进就业</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开展多种形式的就业和创业教育，促进充分就业、高质量就业。2017年组织毕业生大型双选会2次，共370家用人单位入场招聘，为毕业生提供就业岗位10000多个。近3年，毕业生初次就业率在90%左右，年终就业率超过98%，专业对口率超过90%。往届毕业生中很多已成为基层卫生骨干人员，对本省、尤其是苏北地区的卫生行业医学相关技术人才的贡献度较大，为促进区域经济和社会发展做出了重要贡献。</w:t>
      </w:r>
      <w:bookmarkStart w:id="2" w:name="_Toc412989112"/>
      <w:r>
        <w:rPr>
          <w:rFonts w:hint="eastAsia" w:asciiTheme="minorEastAsia" w:hAnsiTheme="minorEastAsia" w:eastAsiaTheme="minorEastAsia" w:cstheme="minorEastAsia"/>
          <w:color w:val="000000"/>
          <w:kern w:val="2"/>
          <w:sz w:val="28"/>
          <w:szCs w:val="28"/>
        </w:rPr>
        <w:t>毕业生行业资格证书获取率高（表7），</w:t>
      </w:r>
      <w:bookmarkEnd w:id="2"/>
      <w:r>
        <w:rPr>
          <w:rFonts w:hint="eastAsia" w:asciiTheme="minorEastAsia" w:hAnsiTheme="minorEastAsia" w:eastAsiaTheme="minorEastAsia" w:cstheme="minorEastAsia"/>
          <w:color w:val="000000"/>
          <w:kern w:val="2"/>
          <w:sz w:val="28"/>
          <w:szCs w:val="28"/>
        </w:rPr>
        <w:t>2017年护理专业学生全国护士执业资格考试通过率为100%，最高分741分（总分760分），学生均分达693.38分，连续三年稳步提升，超过江苏本科，领跑全国高职，形成“全国执考看江苏，江苏执考看盐城”的品牌效应。</w:t>
      </w:r>
    </w:p>
    <w:p>
      <w:pPr>
        <w:spacing w:beforeLines="50" w:line="48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表7  2016—2017学年毕业生就业及资格证书获取情况</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80"/>
        <w:gridCol w:w="3350"/>
        <w:gridCol w:w="1735"/>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72" w:type="dxa"/>
            <w:gridSpan w:val="3"/>
          </w:tcPr>
          <w:p>
            <w:pPr>
              <w:widowControl w:val="0"/>
              <w:tabs>
                <w:tab w:val="left" w:pos="2053"/>
              </w:tabs>
              <w:spacing w:beforeLines="50" w:line="400" w:lineRule="exact"/>
              <w:jc w:val="center"/>
              <w:outlineLvl w:val="2"/>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指标</w:t>
            </w:r>
          </w:p>
        </w:tc>
        <w:tc>
          <w:tcPr>
            <w:tcW w:w="1735" w:type="dxa"/>
            <w:vAlign w:val="center"/>
          </w:tcPr>
          <w:p>
            <w:pPr>
              <w:widowControl w:val="0"/>
              <w:tabs>
                <w:tab w:val="left" w:pos="253"/>
                <w:tab w:val="center" w:pos="662"/>
              </w:tabs>
              <w:spacing w:beforeLines="50" w:line="240" w:lineRule="atLeast"/>
              <w:jc w:val="center"/>
              <w:outlineLvl w:val="2"/>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2016</w:t>
            </w:r>
          </w:p>
        </w:tc>
        <w:tc>
          <w:tcPr>
            <w:tcW w:w="1615" w:type="dxa"/>
            <w:vAlign w:val="center"/>
          </w:tcPr>
          <w:p>
            <w:pPr>
              <w:widowControl w:val="0"/>
              <w:spacing w:beforeLines="50" w:line="240" w:lineRule="atLeast"/>
              <w:jc w:val="center"/>
              <w:outlineLvl w:val="2"/>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72" w:type="dxa"/>
            <w:gridSpan w:val="3"/>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毕业生数</w:t>
            </w:r>
          </w:p>
        </w:tc>
        <w:tc>
          <w:tcPr>
            <w:tcW w:w="1735" w:type="dxa"/>
            <w:vAlign w:val="center"/>
          </w:tcPr>
          <w:p>
            <w:pPr>
              <w:widowControl w:val="0"/>
              <w:spacing w:beforeLines="50" w:line="240" w:lineRule="atLeast"/>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2145</w:t>
            </w:r>
          </w:p>
        </w:tc>
        <w:tc>
          <w:tcPr>
            <w:tcW w:w="1615" w:type="dxa"/>
            <w:vAlign w:val="center"/>
          </w:tcPr>
          <w:p>
            <w:pPr>
              <w:widowControl w:val="0"/>
              <w:spacing w:beforeLines="50" w:line="240" w:lineRule="atLeast"/>
              <w:jc w:val="center"/>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5172" w:type="dxa"/>
            <w:gridSpan w:val="3"/>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毕业生直接升学数(占比%）</w:t>
            </w:r>
          </w:p>
        </w:tc>
        <w:tc>
          <w:tcPr>
            <w:tcW w:w="1735" w:type="dxa"/>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272（12.68）</w:t>
            </w:r>
          </w:p>
        </w:tc>
        <w:tc>
          <w:tcPr>
            <w:tcW w:w="1615" w:type="dxa"/>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327（14.24）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Merge w:val="restart"/>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毕业生</w:t>
            </w:r>
          </w:p>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就业去向</w:t>
            </w:r>
          </w:p>
        </w:tc>
        <w:tc>
          <w:tcPr>
            <w:tcW w:w="3930" w:type="dxa"/>
            <w:gridSpan w:val="2"/>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直接就业数（占比%）</w:t>
            </w:r>
          </w:p>
        </w:tc>
        <w:tc>
          <w:tcPr>
            <w:tcW w:w="1735" w:type="dxa"/>
          </w:tcPr>
          <w:p>
            <w:pPr>
              <w:widowControl w:val="0"/>
              <w:tabs>
                <w:tab w:val="left" w:pos="454"/>
                <w:tab w:val="center" w:pos="785"/>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1985（92.54）</w:t>
            </w:r>
          </w:p>
        </w:tc>
        <w:tc>
          <w:tcPr>
            <w:tcW w:w="1615" w:type="dxa"/>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2076（90.38）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Merge w:val="continue"/>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p>
        </w:tc>
        <w:tc>
          <w:tcPr>
            <w:tcW w:w="580" w:type="dxa"/>
            <w:vMerge w:val="restart"/>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其中</w:t>
            </w:r>
          </w:p>
        </w:tc>
        <w:tc>
          <w:tcPr>
            <w:tcW w:w="3350" w:type="dxa"/>
            <w:vAlign w:val="center"/>
          </w:tcPr>
          <w:p>
            <w:pPr>
              <w:widowControl w:val="0"/>
              <w:tabs>
                <w:tab w:val="center" w:pos="1149"/>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当地就业数</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（占比%）</w:t>
            </w:r>
          </w:p>
        </w:tc>
        <w:tc>
          <w:tcPr>
            <w:tcW w:w="1735" w:type="dxa"/>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1742（87.76）</w:t>
            </w:r>
          </w:p>
        </w:tc>
        <w:tc>
          <w:tcPr>
            <w:tcW w:w="1615" w:type="dxa"/>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1524（73.41）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Merge w:val="continue"/>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p>
        </w:tc>
        <w:tc>
          <w:tcPr>
            <w:tcW w:w="580" w:type="dxa"/>
            <w:vMerge w:val="continue"/>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p>
        </w:tc>
        <w:tc>
          <w:tcPr>
            <w:tcW w:w="3350" w:type="dxa"/>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中小微及基层就业数（占比%）</w:t>
            </w:r>
          </w:p>
        </w:tc>
        <w:tc>
          <w:tcPr>
            <w:tcW w:w="1735" w:type="dxa"/>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1328（66.90）</w:t>
            </w:r>
          </w:p>
        </w:tc>
        <w:tc>
          <w:tcPr>
            <w:tcW w:w="1615" w:type="dxa"/>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1385（66.71）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Merge w:val="continue"/>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p>
        </w:tc>
        <w:tc>
          <w:tcPr>
            <w:tcW w:w="580" w:type="dxa"/>
            <w:vMerge w:val="continue"/>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p>
        </w:tc>
        <w:tc>
          <w:tcPr>
            <w:tcW w:w="3350" w:type="dxa"/>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500强企业就业数（占比%）</w:t>
            </w:r>
          </w:p>
        </w:tc>
        <w:tc>
          <w:tcPr>
            <w:tcW w:w="1735" w:type="dxa"/>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353（17.78）</w:t>
            </w:r>
          </w:p>
        </w:tc>
        <w:tc>
          <w:tcPr>
            <w:tcW w:w="1615" w:type="dxa"/>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355（17.10）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Merge w:val="restart"/>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毕业生资格证书（护理、医学美容技术）</w:t>
            </w:r>
          </w:p>
        </w:tc>
        <w:tc>
          <w:tcPr>
            <w:tcW w:w="3930" w:type="dxa"/>
            <w:gridSpan w:val="2"/>
            <w:vAlign w:val="center"/>
          </w:tcPr>
          <w:p>
            <w:pPr>
              <w:widowControl w:val="0"/>
              <w:tabs>
                <w:tab w:val="left" w:pos="2053"/>
              </w:tabs>
              <w:spacing w:beforeLines="50"/>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国家颁发的与专业相关的职业资格证书获得数（中、高级）（获取率%）</w:t>
            </w:r>
          </w:p>
        </w:tc>
        <w:tc>
          <w:tcPr>
            <w:tcW w:w="1735" w:type="dxa"/>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960（44.75）</w:t>
            </w:r>
          </w:p>
        </w:tc>
        <w:tc>
          <w:tcPr>
            <w:tcW w:w="1615" w:type="dxa"/>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1212（52.76）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1242" w:type="dxa"/>
            <w:vMerge w:val="continue"/>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p>
        </w:tc>
        <w:tc>
          <w:tcPr>
            <w:tcW w:w="3930" w:type="dxa"/>
            <w:gridSpan w:val="2"/>
            <w:vAlign w:val="center"/>
          </w:tcPr>
          <w:p>
            <w:pPr>
              <w:widowControl w:val="0"/>
              <w:tabs>
                <w:tab w:val="left" w:pos="2053"/>
              </w:tabs>
              <w:spacing w:beforeLines="50"/>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行业企业颁发的与专业相关的职业资格证书获得数（获得率%）</w:t>
            </w:r>
          </w:p>
        </w:tc>
        <w:tc>
          <w:tcPr>
            <w:tcW w:w="1735" w:type="dxa"/>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989（46.11）</w:t>
            </w:r>
          </w:p>
        </w:tc>
        <w:tc>
          <w:tcPr>
            <w:tcW w:w="1615" w:type="dxa"/>
            <w:vAlign w:val="center"/>
          </w:tcPr>
          <w:p>
            <w:pPr>
              <w:widowControl w:val="0"/>
              <w:tabs>
                <w:tab w:val="left" w:pos="2053"/>
              </w:tabs>
              <w:spacing w:beforeLines="50" w:line="400" w:lineRule="exact"/>
              <w:jc w:val="both"/>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903（39.31）</w:t>
            </w:r>
          </w:p>
        </w:tc>
      </w:tr>
    </w:tbl>
    <w:p>
      <w:pPr>
        <w:spacing w:line="440" w:lineRule="exact"/>
        <w:ind w:firstLine="562" w:firstLineChars="200"/>
        <w:jc w:val="both"/>
        <w:outlineLvl w:val="2"/>
        <w:rPr>
          <w:b/>
          <w:bCs/>
          <w:sz w:val="28"/>
          <w:szCs w:val="28"/>
        </w:rPr>
      </w:pPr>
      <w:r>
        <w:rPr>
          <w:b/>
          <w:bCs/>
          <w:sz w:val="28"/>
          <w:szCs w:val="28"/>
        </w:rPr>
        <w:t>3.创新创业教育</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探索和创新“理论学习-技能实训-社团活动-参与大赛-创业实战”五位一体的递进式创新创业教育模式，成立创新创业教育小组、建立与专业相适应的创新创业课程体系、选派教师参加创新创业师资培训、搭建校内外创新创业实践平台、开发“菜单式”大学生创新创业训练项目，给学生创新创业能力发展提供平台和有利资源，激发学生的创新潜能与积极性。护理专业以市级“智慧养老科技服务站”为平台，以“社区健康小屋”为本专业学生创新创业实践基地，开展创新创业能力活动训练，成果丰硕。近三年，在国家、省市组织的创新创业类大赛中，学校共获得国赛特等奖1个，一等奖1个，二等奖1个，三等奖2个，优胜奖1个；省赛金奖1个，银奖1个，特等奖2个，一等奖2个，二等奖7个，三等奖4个，省级优秀组织奖3个（表8）。王晨和张赟2名同学的创业案例成功入选《全国高职院校创新创业优秀成果汇编》。</w:t>
      </w:r>
    </w:p>
    <w:p>
      <w:pPr>
        <w:spacing w:beforeLines="50" w:line="48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表8  2016-2018各级创新创业大赛获奖情况</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127"/>
        <w:gridCol w:w="3402"/>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675" w:type="dxa"/>
          </w:tcPr>
          <w:p>
            <w:pPr>
              <w:widowControl w:val="0"/>
              <w:jc w:val="center"/>
              <w:rPr>
                <w:b/>
              </w:rPr>
            </w:pPr>
            <w:r>
              <w:rPr>
                <w:rFonts w:hint="eastAsia"/>
                <w:b/>
              </w:rPr>
              <w:t>年  份</w:t>
            </w:r>
          </w:p>
        </w:tc>
        <w:tc>
          <w:tcPr>
            <w:tcW w:w="2127" w:type="dxa"/>
          </w:tcPr>
          <w:p>
            <w:pPr>
              <w:widowControl w:val="0"/>
              <w:jc w:val="center"/>
              <w:rPr>
                <w:b/>
              </w:rPr>
            </w:pPr>
            <w:r>
              <w:rPr>
                <w:rFonts w:hint="eastAsia"/>
                <w:b/>
              </w:rPr>
              <w:t>竞赛项目</w:t>
            </w:r>
          </w:p>
        </w:tc>
        <w:tc>
          <w:tcPr>
            <w:tcW w:w="3402" w:type="dxa"/>
          </w:tcPr>
          <w:p>
            <w:pPr>
              <w:widowControl w:val="0"/>
              <w:jc w:val="center"/>
              <w:rPr>
                <w:b/>
              </w:rPr>
            </w:pPr>
            <w:r>
              <w:rPr>
                <w:rFonts w:hint="eastAsia"/>
                <w:b/>
              </w:rPr>
              <w:t>参赛项目名称</w:t>
            </w:r>
          </w:p>
        </w:tc>
        <w:tc>
          <w:tcPr>
            <w:tcW w:w="2318" w:type="dxa"/>
          </w:tcPr>
          <w:p>
            <w:pPr>
              <w:widowControl w:val="0"/>
              <w:jc w:val="center"/>
              <w:rPr>
                <w:b/>
              </w:rPr>
            </w:pPr>
            <w:r>
              <w:rPr>
                <w:rFonts w:hint="eastAsia"/>
                <w:b/>
              </w:rPr>
              <w:t>获奖情况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restart"/>
            <w:vAlign w:val="center"/>
          </w:tcPr>
          <w:p>
            <w:pPr>
              <w:widowControl w:val="0"/>
              <w:jc w:val="center"/>
              <w:rPr>
                <w:sz w:val="21"/>
                <w:szCs w:val="21"/>
              </w:rPr>
            </w:pPr>
            <w:r>
              <w:rPr>
                <w:rFonts w:hint="eastAsia"/>
                <w:sz w:val="21"/>
                <w:szCs w:val="21"/>
              </w:rPr>
              <w:t>2016年</w:t>
            </w:r>
          </w:p>
        </w:tc>
        <w:tc>
          <w:tcPr>
            <w:tcW w:w="2127" w:type="dxa"/>
            <w:vMerge w:val="restart"/>
            <w:vAlign w:val="center"/>
          </w:tcPr>
          <w:p>
            <w:pPr>
              <w:widowControl w:val="0"/>
              <w:jc w:val="center"/>
              <w:rPr>
                <w:sz w:val="21"/>
                <w:szCs w:val="21"/>
              </w:rPr>
            </w:pPr>
            <w:r>
              <w:rPr>
                <w:rFonts w:hint="eastAsia"/>
                <w:sz w:val="21"/>
                <w:szCs w:val="21"/>
              </w:rPr>
              <w:t>第二届</w:t>
            </w:r>
            <w:r>
              <w:rPr>
                <w:sz w:val="21"/>
                <w:szCs w:val="21"/>
              </w:rPr>
              <w:t>“</w:t>
            </w:r>
            <w:r>
              <w:rPr>
                <w:rFonts w:hint="eastAsia"/>
                <w:sz w:val="21"/>
                <w:szCs w:val="21"/>
              </w:rPr>
              <w:t>挑战杯—彩虹人生</w:t>
            </w:r>
            <w:r>
              <w:rPr>
                <w:sz w:val="21"/>
                <w:szCs w:val="21"/>
              </w:rPr>
              <w:t>”</w:t>
            </w:r>
            <w:r>
              <w:rPr>
                <w:rFonts w:hint="eastAsia"/>
                <w:sz w:val="21"/>
                <w:szCs w:val="21"/>
              </w:rPr>
              <w:t>职业学校创新创效创业大赛</w:t>
            </w:r>
          </w:p>
        </w:tc>
        <w:tc>
          <w:tcPr>
            <w:tcW w:w="3402" w:type="dxa"/>
            <w:vAlign w:val="center"/>
          </w:tcPr>
          <w:p>
            <w:pPr>
              <w:widowControl w:val="0"/>
              <w:jc w:val="center"/>
              <w:rPr>
                <w:sz w:val="21"/>
                <w:szCs w:val="21"/>
              </w:rPr>
            </w:pPr>
            <w:r>
              <w:rPr>
                <w:rFonts w:hint="eastAsia"/>
                <w:sz w:val="21"/>
                <w:szCs w:val="21"/>
              </w:rPr>
              <w:t>科利尔环保科技有限公司</w:t>
            </w:r>
          </w:p>
        </w:tc>
        <w:tc>
          <w:tcPr>
            <w:tcW w:w="2318" w:type="dxa"/>
            <w:vAlign w:val="center"/>
          </w:tcPr>
          <w:p>
            <w:pPr>
              <w:widowControl w:val="0"/>
              <w:jc w:val="center"/>
              <w:rPr>
                <w:sz w:val="21"/>
                <w:szCs w:val="21"/>
              </w:rPr>
            </w:pPr>
            <w:r>
              <w:rPr>
                <w:rFonts w:hint="eastAsia"/>
                <w:sz w:val="21"/>
                <w:szCs w:val="21"/>
              </w:rPr>
              <w:t>创业计划组全国一等奖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Merge w:val="continue"/>
            <w:vAlign w:val="center"/>
          </w:tcPr>
          <w:p>
            <w:pPr>
              <w:widowControl w:val="0"/>
              <w:jc w:val="center"/>
              <w:rPr>
                <w:sz w:val="21"/>
                <w:szCs w:val="21"/>
              </w:rPr>
            </w:pPr>
          </w:p>
        </w:tc>
        <w:tc>
          <w:tcPr>
            <w:tcW w:w="3402" w:type="dxa"/>
            <w:vAlign w:val="center"/>
          </w:tcPr>
          <w:p>
            <w:pPr>
              <w:widowControl w:val="0"/>
              <w:jc w:val="center"/>
              <w:rPr>
                <w:sz w:val="21"/>
                <w:szCs w:val="21"/>
              </w:rPr>
            </w:pPr>
            <w:r>
              <w:rPr>
                <w:rFonts w:hint="eastAsia"/>
                <w:sz w:val="21"/>
                <w:szCs w:val="21"/>
              </w:rPr>
              <w:t>新型高通量生物毒素TTX筛选检测试剂盒的研制</w:t>
            </w:r>
          </w:p>
        </w:tc>
        <w:tc>
          <w:tcPr>
            <w:tcW w:w="2318" w:type="dxa"/>
            <w:vAlign w:val="center"/>
          </w:tcPr>
          <w:p>
            <w:pPr>
              <w:widowControl w:val="0"/>
              <w:jc w:val="center"/>
              <w:rPr>
                <w:sz w:val="21"/>
                <w:szCs w:val="21"/>
              </w:rPr>
            </w:pPr>
            <w:r>
              <w:rPr>
                <w:rFonts w:hint="eastAsia"/>
                <w:sz w:val="21"/>
                <w:szCs w:val="21"/>
              </w:rPr>
              <w:t>创意设计组</w:t>
            </w:r>
          </w:p>
          <w:p>
            <w:pPr>
              <w:widowControl w:val="0"/>
              <w:jc w:val="center"/>
              <w:rPr>
                <w:sz w:val="21"/>
                <w:szCs w:val="21"/>
              </w:rPr>
            </w:pPr>
            <w:r>
              <w:rPr>
                <w:rFonts w:hint="eastAsia"/>
                <w:sz w:val="21"/>
                <w:szCs w:val="21"/>
              </w:rPr>
              <w:t>全国二等奖、省一等奖、江苏省优秀组织奖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Merge w:val="continue"/>
            <w:vAlign w:val="center"/>
          </w:tcPr>
          <w:p>
            <w:pPr>
              <w:widowControl w:val="0"/>
              <w:jc w:val="center"/>
              <w:rPr>
                <w:sz w:val="21"/>
                <w:szCs w:val="21"/>
              </w:rPr>
            </w:pPr>
          </w:p>
        </w:tc>
        <w:tc>
          <w:tcPr>
            <w:tcW w:w="3402" w:type="dxa"/>
            <w:vAlign w:val="center"/>
          </w:tcPr>
          <w:p>
            <w:pPr>
              <w:widowControl w:val="0"/>
              <w:jc w:val="center"/>
              <w:rPr>
                <w:sz w:val="21"/>
                <w:szCs w:val="21"/>
              </w:rPr>
            </w:pPr>
            <w:r>
              <w:rPr>
                <w:rFonts w:hint="eastAsia"/>
                <w:sz w:val="21"/>
                <w:szCs w:val="21"/>
              </w:rPr>
              <w:t>1-甲基咪唑的合成工艺改进</w:t>
            </w:r>
          </w:p>
        </w:tc>
        <w:tc>
          <w:tcPr>
            <w:tcW w:w="2318" w:type="dxa"/>
            <w:vAlign w:val="center"/>
          </w:tcPr>
          <w:p>
            <w:pPr>
              <w:widowControl w:val="0"/>
              <w:jc w:val="center"/>
              <w:rPr>
                <w:sz w:val="21"/>
                <w:szCs w:val="21"/>
              </w:rPr>
            </w:pPr>
            <w:r>
              <w:rPr>
                <w:rFonts w:hint="eastAsia"/>
                <w:sz w:val="21"/>
                <w:szCs w:val="21"/>
              </w:rPr>
              <w:t>工艺革新组省二等奖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Merge w:val="continue"/>
            <w:vAlign w:val="center"/>
          </w:tcPr>
          <w:p>
            <w:pPr>
              <w:widowControl w:val="0"/>
              <w:jc w:val="center"/>
              <w:rPr>
                <w:sz w:val="21"/>
                <w:szCs w:val="21"/>
              </w:rPr>
            </w:pPr>
          </w:p>
        </w:tc>
        <w:tc>
          <w:tcPr>
            <w:tcW w:w="3402" w:type="dxa"/>
            <w:vAlign w:val="center"/>
          </w:tcPr>
          <w:p>
            <w:pPr>
              <w:widowControl w:val="0"/>
              <w:jc w:val="left"/>
              <w:rPr>
                <w:sz w:val="21"/>
                <w:szCs w:val="21"/>
              </w:rPr>
            </w:pPr>
            <w:r>
              <w:rPr>
                <w:rFonts w:hint="eastAsia"/>
                <w:sz w:val="21"/>
                <w:szCs w:val="21"/>
              </w:rPr>
              <w:t>基于《中国老年人膳食指南》对盐城市老年人营养 KAP 的调查研究</w:t>
            </w:r>
          </w:p>
        </w:tc>
        <w:tc>
          <w:tcPr>
            <w:tcW w:w="2318" w:type="dxa"/>
            <w:vAlign w:val="center"/>
          </w:tcPr>
          <w:p>
            <w:pPr>
              <w:widowControl w:val="0"/>
              <w:jc w:val="center"/>
              <w:rPr>
                <w:sz w:val="21"/>
                <w:szCs w:val="21"/>
              </w:rPr>
            </w:pPr>
            <w:r>
              <w:rPr>
                <w:rFonts w:hint="eastAsia"/>
                <w:sz w:val="21"/>
                <w:szCs w:val="21"/>
              </w:rPr>
              <w:t>社会调研组省三等奖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Align w:val="center"/>
          </w:tcPr>
          <w:p>
            <w:pPr>
              <w:widowControl w:val="0"/>
              <w:jc w:val="center"/>
              <w:rPr>
                <w:sz w:val="21"/>
                <w:szCs w:val="21"/>
              </w:rPr>
            </w:pPr>
            <w:r>
              <w:rPr>
                <w:rFonts w:hint="eastAsia"/>
                <w:sz w:val="21"/>
                <w:szCs w:val="21"/>
              </w:rPr>
              <w:t>“挑战杯—创青春”省大学生创业大赛</w:t>
            </w:r>
          </w:p>
        </w:tc>
        <w:tc>
          <w:tcPr>
            <w:tcW w:w="3402" w:type="dxa"/>
            <w:vAlign w:val="center"/>
          </w:tcPr>
          <w:p>
            <w:pPr>
              <w:widowControl w:val="0"/>
              <w:jc w:val="center"/>
              <w:rPr>
                <w:sz w:val="21"/>
                <w:szCs w:val="21"/>
              </w:rPr>
            </w:pPr>
            <w:r>
              <w:rPr>
                <w:rFonts w:hint="eastAsia"/>
                <w:sz w:val="21"/>
                <w:szCs w:val="21"/>
              </w:rPr>
              <w:t>盐城科利尔环保科技有限公司</w:t>
            </w:r>
          </w:p>
        </w:tc>
        <w:tc>
          <w:tcPr>
            <w:tcW w:w="2318" w:type="dxa"/>
            <w:vAlign w:val="center"/>
          </w:tcPr>
          <w:p>
            <w:pPr>
              <w:widowControl w:val="0"/>
              <w:jc w:val="center"/>
              <w:rPr>
                <w:sz w:val="21"/>
                <w:szCs w:val="21"/>
              </w:rPr>
            </w:pPr>
            <w:r>
              <w:rPr>
                <w:rFonts w:hint="eastAsia"/>
                <w:sz w:val="21"/>
                <w:szCs w:val="21"/>
              </w:rPr>
              <w:t>银 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Align w:val="center"/>
          </w:tcPr>
          <w:p>
            <w:pPr>
              <w:widowControl w:val="0"/>
              <w:jc w:val="center"/>
              <w:rPr>
                <w:sz w:val="21"/>
                <w:szCs w:val="21"/>
              </w:rPr>
            </w:pPr>
            <w:r>
              <w:rPr>
                <w:rFonts w:hint="eastAsia"/>
                <w:sz w:val="21"/>
                <w:szCs w:val="21"/>
              </w:rPr>
              <w:t>江苏省互联网+大学生创业大赛</w:t>
            </w:r>
          </w:p>
        </w:tc>
        <w:tc>
          <w:tcPr>
            <w:tcW w:w="3402" w:type="dxa"/>
            <w:vAlign w:val="center"/>
          </w:tcPr>
          <w:p>
            <w:pPr>
              <w:widowControl w:val="0"/>
              <w:jc w:val="center"/>
              <w:rPr>
                <w:sz w:val="21"/>
                <w:szCs w:val="21"/>
              </w:rPr>
            </w:pPr>
            <w:r>
              <w:rPr>
                <w:rFonts w:hint="eastAsia"/>
                <w:sz w:val="21"/>
                <w:szCs w:val="21"/>
              </w:rPr>
              <w:t>掌上御菊工坊项目</w:t>
            </w:r>
          </w:p>
        </w:tc>
        <w:tc>
          <w:tcPr>
            <w:tcW w:w="2318" w:type="dxa"/>
            <w:vAlign w:val="center"/>
          </w:tcPr>
          <w:p>
            <w:pPr>
              <w:widowControl w:val="0"/>
              <w:jc w:val="center"/>
              <w:rPr>
                <w:sz w:val="21"/>
                <w:szCs w:val="21"/>
              </w:rPr>
            </w:pPr>
            <w:r>
              <w:rPr>
                <w:rFonts w:hint="eastAsia"/>
                <w:sz w:val="21"/>
                <w:szCs w:val="21"/>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restart"/>
            <w:vAlign w:val="center"/>
          </w:tcPr>
          <w:p>
            <w:pPr>
              <w:widowControl w:val="0"/>
              <w:jc w:val="center"/>
              <w:rPr>
                <w:sz w:val="21"/>
                <w:szCs w:val="21"/>
              </w:rPr>
            </w:pPr>
            <w:r>
              <w:rPr>
                <w:rFonts w:hint="eastAsia"/>
                <w:sz w:val="21"/>
                <w:szCs w:val="21"/>
              </w:rPr>
              <w:t>2017年</w:t>
            </w:r>
          </w:p>
        </w:tc>
        <w:tc>
          <w:tcPr>
            <w:tcW w:w="2127" w:type="dxa"/>
            <w:vMerge w:val="restart"/>
            <w:vAlign w:val="center"/>
          </w:tcPr>
          <w:p>
            <w:pPr>
              <w:widowControl w:val="0"/>
              <w:jc w:val="center"/>
              <w:rPr>
                <w:sz w:val="21"/>
                <w:szCs w:val="21"/>
              </w:rPr>
            </w:pPr>
            <w:r>
              <w:rPr>
                <w:rFonts w:hint="eastAsia"/>
                <w:sz w:val="21"/>
                <w:szCs w:val="21"/>
              </w:rPr>
              <w:t>“挑战杯”</w:t>
            </w:r>
            <w:r>
              <w:rPr>
                <w:sz w:val="21"/>
                <w:szCs w:val="21"/>
              </w:rPr>
              <w:t>大学生课外学术科技作品竞赛</w:t>
            </w:r>
          </w:p>
        </w:tc>
        <w:tc>
          <w:tcPr>
            <w:tcW w:w="3402" w:type="dxa"/>
            <w:vAlign w:val="center"/>
          </w:tcPr>
          <w:p>
            <w:pPr>
              <w:widowControl w:val="0"/>
              <w:jc w:val="center"/>
              <w:rPr>
                <w:sz w:val="21"/>
                <w:szCs w:val="21"/>
              </w:rPr>
            </w:pPr>
            <w:r>
              <w:rPr>
                <w:rFonts w:hint="eastAsia"/>
                <w:sz w:val="21"/>
                <w:szCs w:val="21"/>
              </w:rPr>
              <w:t>苏北地区分级诊疗时政调查</w:t>
            </w:r>
          </w:p>
        </w:tc>
        <w:tc>
          <w:tcPr>
            <w:tcW w:w="2318" w:type="dxa"/>
            <w:vAlign w:val="center"/>
          </w:tcPr>
          <w:p>
            <w:pPr>
              <w:widowControl w:val="0"/>
              <w:jc w:val="center"/>
              <w:rPr>
                <w:sz w:val="21"/>
                <w:szCs w:val="21"/>
              </w:rPr>
            </w:pPr>
            <w:r>
              <w:rPr>
                <w:rFonts w:hint="eastAsia"/>
                <w:sz w:val="21"/>
                <w:szCs w:val="21"/>
              </w:rPr>
              <w:t>社会调研组</w:t>
            </w:r>
          </w:p>
          <w:p>
            <w:pPr>
              <w:widowControl w:val="0"/>
              <w:jc w:val="center"/>
              <w:rPr>
                <w:sz w:val="21"/>
                <w:szCs w:val="21"/>
              </w:rPr>
            </w:pPr>
            <w:r>
              <w:rPr>
                <w:rFonts w:hint="eastAsia"/>
                <w:sz w:val="21"/>
                <w:szCs w:val="21"/>
              </w:rPr>
              <w:t>国赛三等奖（江苏省高职院唯一）、省赛特等奖、省优秀组织奖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Merge w:val="continue"/>
            <w:vAlign w:val="center"/>
          </w:tcPr>
          <w:p>
            <w:pPr>
              <w:widowControl w:val="0"/>
              <w:jc w:val="center"/>
              <w:rPr>
                <w:sz w:val="21"/>
                <w:szCs w:val="21"/>
              </w:rPr>
            </w:pPr>
          </w:p>
        </w:tc>
        <w:tc>
          <w:tcPr>
            <w:tcW w:w="3402" w:type="dxa"/>
            <w:vAlign w:val="center"/>
          </w:tcPr>
          <w:p>
            <w:pPr>
              <w:widowControl w:val="0"/>
              <w:jc w:val="center"/>
              <w:rPr>
                <w:sz w:val="21"/>
                <w:szCs w:val="21"/>
              </w:rPr>
            </w:pPr>
            <w:r>
              <w:rPr>
                <w:rFonts w:hint="eastAsia"/>
                <w:sz w:val="21"/>
                <w:szCs w:val="21"/>
              </w:rPr>
              <w:t>抗疟药物青蒿素抑制胆囊癌细胞迁移侵袭的新发现</w:t>
            </w:r>
          </w:p>
        </w:tc>
        <w:tc>
          <w:tcPr>
            <w:tcW w:w="2318" w:type="dxa"/>
            <w:vAlign w:val="center"/>
          </w:tcPr>
          <w:p>
            <w:pPr>
              <w:widowControl w:val="0"/>
              <w:jc w:val="center"/>
              <w:rPr>
                <w:sz w:val="21"/>
                <w:szCs w:val="21"/>
              </w:rPr>
            </w:pPr>
            <w:r>
              <w:rPr>
                <w:rFonts w:hint="eastAsia"/>
                <w:sz w:val="21"/>
                <w:szCs w:val="21"/>
              </w:rPr>
              <w:t>自然科学类学术论文</w:t>
            </w:r>
          </w:p>
          <w:p>
            <w:pPr>
              <w:widowControl w:val="0"/>
              <w:jc w:val="center"/>
              <w:rPr>
                <w:sz w:val="21"/>
                <w:szCs w:val="21"/>
              </w:rPr>
            </w:pPr>
            <w:r>
              <w:rPr>
                <w:rFonts w:hint="eastAsia"/>
                <w:sz w:val="21"/>
                <w:szCs w:val="21"/>
              </w:rPr>
              <w:t>省二等奖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675" w:type="dxa"/>
            <w:vMerge w:val="continue"/>
            <w:vAlign w:val="center"/>
          </w:tcPr>
          <w:p>
            <w:pPr>
              <w:widowControl w:val="0"/>
              <w:jc w:val="center"/>
              <w:rPr>
                <w:sz w:val="21"/>
                <w:szCs w:val="21"/>
              </w:rPr>
            </w:pPr>
          </w:p>
        </w:tc>
        <w:tc>
          <w:tcPr>
            <w:tcW w:w="2127" w:type="dxa"/>
            <w:vMerge w:val="continue"/>
            <w:vAlign w:val="center"/>
          </w:tcPr>
          <w:p>
            <w:pPr>
              <w:widowControl w:val="0"/>
              <w:jc w:val="center"/>
              <w:rPr>
                <w:sz w:val="21"/>
                <w:szCs w:val="21"/>
              </w:rPr>
            </w:pPr>
          </w:p>
        </w:tc>
        <w:tc>
          <w:tcPr>
            <w:tcW w:w="3402" w:type="dxa"/>
            <w:vAlign w:val="center"/>
          </w:tcPr>
          <w:p>
            <w:pPr>
              <w:widowControl w:val="0"/>
              <w:jc w:val="center"/>
              <w:rPr>
                <w:sz w:val="21"/>
                <w:szCs w:val="21"/>
              </w:rPr>
            </w:pPr>
            <w:r>
              <w:rPr>
                <w:rFonts w:hint="eastAsia"/>
                <w:sz w:val="21"/>
                <w:szCs w:val="21"/>
              </w:rPr>
              <w:t>磁共振弥散张量成像对缺血性脑小血管病的应用研究</w:t>
            </w:r>
          </w:p>
        </w:tc>
        <w:tc>
          <w:tcPr>
            <w:tcW w:w="2318" w:type="dxa"/>
            <w:vAlign w:val="center"/>
          </w:tcPr>
          <w:p>
            <w:pPr>
              <w:widowControl w:val="0"/>
              <w:jc w:val="center"/>
              <w:rPr>
                <w:sz w:val="21"/>
                <w:szCs w:val="21"/>
              </w:rPr>
            </w:pPr>
            <w:r>
              <w:rPr>
                <w:rFonts w:hint="eastAsia"/>
                <w:sz w:val="21"/>
                <w:szCs w:val="21"/>
              </w:rPr>
              <w:t>自然科学类学术论文</w:t>
            </w:r>
          </w:p>
          <w:p>
            <w:pPr>
              <w:widowControl w:val="0"/>
              <w:jc w:val="center"/>
              <w:rPr>
                <w:sz w:val="21"/>
                <w:szCs w:val="21"/>
              </w:rPr>
            </w:pPr>
            <w:r>
              <w:rPr>
                <w:rFonts w:hint="eastAsia"/>
                <w:sz w:val="21"/>
                <w:szCs w:val="21"/>
              </w:rPr>
              <w:t>省二等奖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Merge w:val="continue"/>
            <w:vAlign w:val="center"/>
          </w:tcPr>
          <w:p>
            <w:pPr>
              <w:widowControl w:val="0"/>
              <w:jc w:val="center"/>
              <w:rPr>
                <w:sz w:val="21"/>
                <w:szCs w:val="21"/>
              </w:rPr>
            </w:pPr>
          </w:p>
        </w:tc>
        <w:tc>
          <w:tcPr>
            <w:tcW w:w="3402" w:type="dxa"/>
            <w:vAlign w:val="center"/>
          </w:tcPr>
          <w:p>
            <w:pPr>
              <w:widowControl w:val="0"/>
              <w:jc w:val="center"/>
              <w:rPr>
                <w:sz w:val="21"/>
                <w:szCs w:val="21"/>
              </w:rPr>
            </w:pPr>
            <w:r>
              <w:rPr>
                <w:rFonts w:hint="eastAsia"/>
                <w:sz w:val="21"/>
                <w:szCs w:val="21"/>
              </w:rPr>
              <w:t>一种基于亲情语音提醒的老年人智能取药药盒</w:t>
            </w:r>
          </w:p>
        </w:tc>
        <w:tc>
          <w:tcPr>
            <w:tcW w:w="2318" w:type="dxa"/>
            <w:vAlign w:val="center"/>
          </w:tcPr>
          <w:p>
            <w:pPr>
              <w:widowControl w:val="0"/>
              <w:jc w:val="center"/>
              <w:rPr>
                <w:sz w:val="21"/>
                <w:szCs w:val="21"/>
              </w:rPr>
            </w:pPr>
            <w:r>
              <w:rPr>
                <w:rFonts w:hint="eastAsia"/>
                <w:sz w:val="21"/>
                <w:szCs w:val="21"/>
              </w:rPr>
              <w:t>科技制作发明B类</w:t>
            </w:r>
          </w:p>
          <w:p>
            <w:pPr>
              <w:widowControl w:val="0"/>
              <w:jc w:val="center"/>
              <w:rPr>
                <w:sz w:val="21"/>
                <w:szCs w:val="21"/>
              </w:rPr>
            </w:pPr>
            <w:r>
              <w:rPr>
                <w:rFonts w:hint="eastAsia"/>
                <w:sz w:val="21"/>
                <w:szCs w:val="21"/>
              </w:rPr>
              <w:t>省三等奖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Align w:val="center"/>
          </w:tcPr>
          <w:p>
            <w:pPr>
              <w:widowControl w:val="0"/>
              <w:jc w:val="center"/>
              <w:rPr>
                <w:sz w:val="21"/>
                <w:szCs w:val="21"/>
              </w:rPr>
            </w:pPr>
            <w:r>
              <w:rPr>
                <w:rFonts w:hint="eastAsia"/>
                <w:sz w:val="21"/>
                <w:szCs w:val="21"/>
              </w:rPr>
              <w:t>中华职业教育创新创业大赛</w:t>
            </w:r>
          </w:p>
        </w:tc>
        <w:tc>
          <w:tcPr>
            <w:tcW w:w="3402" w:type="dxa"/>
            <w:vAlign w:val="center"/>
          </w:tcPr>
          <w:p>
            <w:pPr>
              <w:widowControl w:val="0"/>
              <w:jc w:val="center"/>
              <w:rPr>
                <w:sz w:val="21"/>
                <w:szCs w:val="21"/>
              </w:rPr>
            </w:pPr>
            <w:r>
              <w:rPr>
                <w:rFonts w:hint="eastAsia"/>
                <w:sz w:val="21"/>
                <w:szCs w:val="21"/>
              </w:rPr>
              <w:t>格力亚环保科技有限公司</w:t>
            </w:r>
          </w:p>
        </w:tc>
        <w:tc>
          <w:tcPr>
            <w:tcW w:w="2318" w:type="dxa"/>
            <w:vAlign w:val="center"/>
          </w:tcPr>
          <w:p>
            <w:pPr>
              <w:widowControl w:val="0"/>
              <w:jc w:val="center"/>
              <w:rPr>
                <w:sz w:val="21"/>
                <w:szCs w:val="21"/>
              </w:rPr>
            </w:pPr>
            <w:r>
              <w:rPr>
                <w:rFonts w:hint="eastAsia"/>
                <w:sz w:val="21"/>
                <w:szCs w:val="21"/>
              </w:rPr>
              <w:t>优胜奖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Merge w:val="restart"/>
            <w:vAlign w:val="center"/>
          </w:tcPr>
          <w:p>
            <w:pPr>
              <w:widowControl w:val="0"/>
              <w:jc w:val="center"/>
              <w:rPr>
                <w:sz w:val="21"/>
                <w:szCs w:val="21"/>
              </w:rPr>
            </w:pPr>
            <w:r>
              <w:rPr>
                <w:rFonts w:hint="eastAsia"/>
                <w:sz w:val="21"/>
                <w:szCs w:val="21"/>
              </w:rPr>
              <w:t>江苏省互联网+大学生创业大赛</w:t>
            </w:r>
          </w:p>
        </w:tc>
        <w:tc>
          <w:tcPr>
            <w:tcW w:w="3402" w:type="dxa"/>
            <w:vAlign w:val="center"/>
          </w:tcPr>
          <w:p>
            <w:pPr>
              <w:widowControl w:val="0"/>
              <w:jc w:val="center"/>
              <w:rPr>
                <w:sz w:val="21"/>
                <w:szCs w:val="21"/>
              </w:rPr>
            </w:pPr>
            <w:r>
              <w:rPr>
                <w:rFonts w:hint="eastAsia"/>
                <w:sz w:val="21"/>
                <w:szCs w:val="21"/>
              </w:rPr>
              <w:t>江苏蔚蓝生物科技有限公司</w:t>
            </w:r>
          </w:p>
        </w:tc>
        <w:tc>
          <w:tcPr>
            <w:tcW w:w="2318" w:type="dxa"/>
            <w:vAlign w:val="center"/>
          </w:tcPr>
          <w:p>
            <w:pPr>
              <w:widowControl w:val="0"/>
              <w:ind w:firstLine="840" w:firstLineChars="400"/>
              <w:jc w:val="both"/>
              <w:rPr>
                <w:sz w:val="21"/>
                <w:szCs w:val="21"/>
              </w:rPr>
            </w:pPr>
            <w:r>
              <w:rPr>
                <w:rFonts w:hint="eastAsia"/>
                <w:sz w:val="21"/>
                <w:szCs w:val="21"/>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Merge w:val="continue"/>
            <w:vAlign w:val="center"/>
          </w:tcPr>
          <w:p>
            <w:pPr>
              <w:widowControl w:val="0"/>
              <w:jc w:val="center"/>
              <w:rPr>
                <w:sz w:val="21"/>
                <w:szCs w:val="21"/>
              </w:rPr>
            </w:pPr>
          </w:p>
        </w:tc>
        <w:tc>
          <w:tcPr>
            <w:tcW w:w="3402" w:type="dxa"/>
            <w:vAlign w:val="center"/>
          </w:tcPr>
          <w:p>
            <w:pPr>
              <w:widowControl w:val="0"/>
              <w:jc w:val="center"/>
              <w:rPr>
                <w:sz w:val="21"/>
                <w:szCs w:val="21"/>
              </w:rPr>
            </w:pPr>
            <w:r>
              <w:rPr>
                <w:sz w:val="21"/>
                <w:szCs w:val="21"/>
              </w:rPr>
              <w:t>T</w:t>
            </w:r>
            <w:r>
              <w:rPr>
                <w:rFonts w:hint="eastAsia"/>
                <w:sz w:val="21"/>
                <w:szCs w:val="21"/>
              </w:rPr>
              <w:t>云</w:t>
            </w:r>
            <w:r>
              <w:rPr>
                <w:sz w:val="21"/>
                <w:szCs w:val="21"/>
              </w:rPr>
              <w:t>-</w:t>
            </w:r>
            <w:r>
              <w:rPr>
                <w:rFonts w:hint="eastAsia"/>
                <w:sz w:val="21"/>
                <w:szCs w:val="21"/>
              </w:rPr>
              <w:t>醛霸室内空气净化</w:t>
            </w:r>
          </w:p>
        </w:tc>
        <w:tc>
          <w:tcPr>
            <w:tcW w:w="2318" w:type="dxa"/>
            <w:vAlign w:val="center"/>
          </w:tcPr>
          <w:p>
            <w:pPr>
              <w:widowControl w:val="0"/>
              <w:ind w:firstLine="840" w:firstLineChars="400"/>
              <w:jc w:val="both"/>
              <w:rPr>
                <w:sz w:val="21"/>
                <w:szCs w:val="21"/>
              </w:rPr>
            </w:pPr>
            <w:r>
              <w:rPr>
                <w:rFonts w:hint="eastAsia"/>
                <w:sz w:val="21"/>
                <w:szCs w:val="21"/>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Align w:val="center"/>
          </w:tcPr>
          <w:p>
            <w:pPr>
              <w:widowControl w:val="0"/>
              <w:jc w:val="center"/>
              <w:rPr>
                <w:sz w:val="21"/>
                <w:szCs w:val="21"/>
              </w:rPr>
            </w:pPr>
            <w:r>
              <w:rPr>
                <w:rFonts w:hint="eastAsia"/>
                <w:sz w:val="21"/>
                <w:szCs w:val="21"/>
              </w:rPr>
              <w:t>江苏省职业生涯规划大赛</w:t>
            </w:r>
          </w:p>
        </w:tc>
        <w:tc>
          <w:tcPr>
            <w:tcW w:w="3402" w:type="dxa"/>
            <w:vAlign w:val="center"/>
          </w:tcPr>
          <w:p>
            <w:pPr>
              <w:widowControl w:val="0"/>
              <w:jc w:val="center"/>
              <w:rPr>
                <w:sz w:val="21"/>
                <w:szCs w:val="21"/>
              </w:rPr>
            </w:pPr>
            <w:r>
              <w:rPr>
                <w:rFonts w:hint="eastAsia"/>
                <w:sz w:val="21"/>
                <w:szCs w:val="21"/>
              </w:rPr>
              <w:t>益中堂一站式便民健康服务中心</w:t>
            </w:r>
          </w:p>
        </w:tc>
        <w:tc>
          <w:tcPr>
            <w:tcW w:w="2318" w:type="dxa"/>
            <w:vAlign w:val="center"/>
          </w:tcPr>
          <w:p>
            <w:pPr>
              <w:widowControl w:val="0"/>
              <w:ind w:firstLine="840" w:firstLineChars="400"/>
              <w:jc w:val="both"/>
              <w:rPr>
                <w:sz w:val="21"/>
                <w:szCs w:val="21"/>
              </w:rPr>
            </w:pPr>
            <w:r>
              <w:rPr>
                <w:rFonts w:hint="eastAsia"/>
                <w:sz w:val="21"/>
                <w:szCs w:val="21"/>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restart"/>
            <w:vAlign w:val="center"/>
          </w:tcPr>
          <w:p>
            <w:pPr>
              <w:widowControl w:val="0"/>
              <w:jc w:val="center"/>
              <w:rPr>
                <w:sz w:val="21"/>
                <w:szCs w:val="21"/>
              </w:rPr>
            </w:pPr>
            <w:r>
              <w:rPr>
                <w:rFonts w:hint="eastAsia"/>
                <w:sz w:val="21"/>
                <w:szCs w:val="21"/>
              </w:rPr>
              <w:t>2018年</w:t>
            </w:r>
          </w:p>
        </w:tc>
        <w:tc>
          <w:tcPr>
            <w:tcW w:w="2127" w:type="dxa"/>
            <w:vAlign w:val="center"/>
          </w:tcPr>
          <w:p>
            <w:pPr>
              <w:widowControl w:val="0"/>
              <w:jc w:val="center"/>
              <w:rPr>
                <w:sz w:val="21"/>
                <w:szCs w:val="21"/>
              </w:rPr>
            </w:pPr>
            <w:r>
              <w:rPr>
                <w:rFonts w:hint="eastAsia"/>
                <w:sz w:val="21"/>
                <w:szCs w:val="21"/>
              </w:rPr>
              <w:t>“挑战杯—创青春省大学生创新创业大赛</w:t>
            </w:r>
          </w:p>
        </w:tc>
        <w:tc>
          <w:tcPr>
            <w:tcW w:w="3402" w:type="dxa"/>
            <w:vAlign w:val="center"/>
          </w:tcPr>
          <w:p>
            <w:pPr>
              <w:widowControl w:val="0"/>
              <w:jc w:val="center"/>
              <w:rPr>
                <w:sz w:val="21"/>
                <w:szCs w:val="21"/>
              </w:rPr>
            </w:pPr>
            <w:r>
              <w:rPr>
                <w:rFonts w:hint="eastAsia"/>
                <w:sz w:val="21"/>
                <w:szCs w:val="21"/>
              </w:rPr>
              <w:t>望鹤林中医文化生活馆</w:t>
            </w:r>
          </w:p>
        </w:tc>
        <w:tc>
          <w:tcPr>
            <w:tcW w:w="2318" w:type="dxa"/>
            <w:vAlign w:val="center"/>
          </w:tcPr>
          <w:p>
            <w:pPr>
              <w:widowControl w:val="0"/>
              <w:jc w:val="center"/>
              <w:rPr>
                <w:sz w:val="21"/>
                <w:szCs w:val="21"/>
              </w:rPr>
            </w:pPr>
            <w:r>
              <w:rPr>
                <w:rFonts w:hint="eastAsia"/>
                <w:sz w:val="21"/>
                <w:szCs w:val="21"/>
              </w:rPr>
              <w:t>省赛金奖、优秀组织奖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Merge w:val="restart"/>
            <w:vAlign w:val="center"/>
          </w:tcPr>
          <w:p>
            <w:pPr>
              <w:widowControl w:val="0"/>
              <w:jc w:val="center"/>
              <w:rPr>
                <w:sz w:val="21"/>
                <w:szCs w:val="21"/>
              </w:rPr>
            </w:pPr>
            <w:r>
              <w:rPr>
                <w:rFonts w:hint="eastAsia"/>
                <w:sz w:val="21"/>
                <w:szCs w:val="21"/>
              </w:rPr>
              <w:t>第三届“挑战杯彩虹人生”职业学校创新创效创业大赛</w:t>
            </w:r>
          </w:p>
        </w:tc>
        <w:tc>
          <w:tcPr>
            <w:tcW w:w="3402" w:type="dxa"/>
            <w:vAlign w:val="center"/>
          </w:tcPr>
          <w:p>
            <w:pPr>
              <w:widowControl w:val="0"/>
              <w:jc w:val="center"/>
              <w:rPr>
                <w:sz w:val="21"/>
                <w:szCs w:val="21"/>
              </w:rPr>
            </w:pPr>
            <w:r>
              <w:rPr>
                <w:rFonts w:hint="eastAsia"/>
                <w:sz w:val="21"/>
                <w:szCs w:val="21"/>
              </w:rPr>
              <w:t>2,3-二氯吡啶的生产工艺革新</w:t>
            </w:r>
          </w:p>
        </w:tc>
        <w:tc>
          <w:tcPr>
            <w:tcW w:w="2318" w:type="dxa"/>
            <w:vAlign w:val="center"/>
          </w:tcPr>
          <w:p>
            <w:pPr>
              <w:widowControl w:val="0"/>
              <w:jc w:val="center"/>
              <w:rPr>
                <w:sz w:val="21"/>
                <w:szCs w:val="21"/>
              </w:rPr>
            </w:pPr>
            <w:r>
              <w:rPr>
                <w:rFonts w:hint="eastAsia"/>
                <w:sz w:val="21"/>
                <w:szCs w:val="21"/>
              </w:rPr>
              <w:t>全国特等奖、省特等奖、省赛优秀组织奖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Merge w:val="continue"/>
            <w:vAlign w:val="center"/>
          </w:tcPr>
          <w:p>
            <w:pPr>
              <w:widowControl w:val="0"/>
              <w:jc w:val="center"/>
              <w:rPr>
                <w:sz w:val="21"/>
                <w:szCs w:val="21"/>
              </w:rPr>
            </w:pPr>
          </w:p>
        </w:tc>
        <w:tc>
          <w:tcPr>
            <w:tcW w:w="3402" w:type="dxa"/>
            <w:vAlign w:val="center"/>
          </w:tcPr>
          <w:p>
            <w:pPr>
              <w:widowControl w:val="0"/>
              <w:jc w:val="center"/>
              <w:rPr>
                <w:sz w:val="21"/>
                <w:szCs w:val="21"/>
              </w:rPr>
            </w:pPr>
            <w:r>
              <w:rPr>
                <w:rFonts w:hint="eastAsia"/>
                <w:sz w:val="21"/>
                <w:szCs w:val="21"/>
              </w:rPr>
              <w:t>X线发生模拟装置</w:t>
            </w:r>
          </w:p>
        </w:tc>
        <w:tc>
          <w:tcPr>
            <w:tcW w:w="2318" w:type="dxa"/>
            <w:vAlign w:val="center"/>
          </w:tcPr>
          <w:p>
            <w:pPr>
              <w:widowControl w:val="0"/>
              <w:jc w:val="center"/>
              <w:rPr>
                <w:sz w:val="21"/>
                <w:szCs w:val="21"/>
              </w:rPr>
            </w:pPr>
            <w:r>
              <w:rPr>
                <w:rFonts w:hint="eastAsia"/>
                <w:sz w:val="21"/>
                <w:szCs w:val="21"/>
              </w:rPr>
              <w:t>全国三等奖、省一等奖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Merge w:val="continue"/>
            <w:vAlign w:val="center"/>
          </w:tcPr>
          <w:p>
            <w:pPr>
              <w:widowControl w:val="0"/>
              <w:jc w:val="center"/>
              <w:rPr>
                <w:sz w:val="21"/>
                <w:szCs w:val="21"/>
              </w:rPr>
            </w:pPr>
          </w:p>
        </w:tc>
        <w:tc>
          <w:tcPr>
            <w:tcW w:w="3402" w:type="dxa"/>
            <w:vAlign w:val="center"/>
          </w:tcPr>
          <w:p>
            <w:pPr>
              <w:widowControl w:val="0"/>
              <w:jc w:val="center"/>
              <w:rPr>
                <w:sz w:val="21"/>
                <w:szCs w:val="21"/>
              </w:rPr>
            </w:pPr>
            <w:r>
              <w:rPr>
                <w:rFonts w:hint="eastAsia"/>
                <w:sz w:val="21"/>
                <w:szCs w:val="21"/>
              </w:rPr>
              <w:t>白蛋白纳米粒的生产工艺革新</w:t>
            </w:r>
          </w:p>
        </w:tc>
        <w:tc>
          <w:tcPr>
            <w:tcW w:w="2318" w:type="dxa"/>
            <w:vAlign w:val="center"/>
          </w:tcPr>
          <w:p>
            <w:pPr>
              <w:widowControl w:val="0"/>
              <w:jc w:val="center"/>
              <w:rPr>
                <w:sz w:val="21"/>
                <w:szCs w:val="21"/>
              </w:rPr>
            </w:pPr>
            <w:r>
              <w:rPr>
                <w:rFonts w:hint="eastAsia"/>
                <w:sz w:val="21"/>
                <w:szCs w:val="21"/>
              </w:rPr>
              <w:t>省二等奖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Merge w:val="continue"/>
            <w:vAlign w:val="center"/>
          </w:tcPr>
          <w:p>
            <w:pPr>
              <w:widowControl w:val="0"/>
              <w:jc w:val="center"/>
              <w:rPr>
                <w:sz w:val="21"/>
                <w:szCs w:val="21"/>
              </w:rPr>
            </w:pPr>
          </w:p>
        </w:tc>
        <w:tc>
          <w:tcPr>
            <w:tcW w:w="2127" w:type="dxa"/>
            <w:vMerge w:val="continue"/>
            <w:vAlign w:val="center"/>
          </w:tcPr>
          <w:p>
            <w:pPr>
              <w:widowControl w:val="0"/>
              <w:jc w:val="center"/>
              <w:rPr>
                <w:sz w:val="21"/>
                <w:szCs w:val="21"/>
              </w:rPr>
            </w:pPr>
          </w:p>
        </w:tc>
        <w:tc>
          <w:tcPr>
            <w:tcW w:w="3402" w:type="dxa"/>
          </w:tcPr>
          <w:p>
            <w:pPr>
              <w:widowControl w:val="0"/>
              <w:jc w:val="center"/>
              <w:rPr>
                <w:sz w:val="21"/>
                <w:szCs w:val="21"/>
              </w:rPr>
            </w:pPr>
            <w:r>
              <w:rPr>
                <w:rFonts w:hint="eastAsia"/>
                <w:sz w:val="21"/>
                <w:szCs w:val="21"/>
              </w:rPr>
              <w:t>变频超声通乳吸乳一体机</w:t>
            </w:r>
          </w:p>
        </w:tc>
        <w:tc>
          <w:tcPr>
            <w:tcW w:w="2318" w:type="dxa"/>
          </w:tcPr>
          <w:p>
            <w:pPr>
              <w:widowControl w:val="0"/>
              <w:jc w:val="center"/>
              <w:rPr>
                <w:sz w:val="21"/>
                <w:szCs w:val="21"/>
              </w:rPr>
            </w:pPr>
            <w:r>
              <w:rPr>
                <w:rFonts w:hint="eastAsia"/>
                <w:sz w:val="21"/>
                <w:szCs w:val="21"/>
              </w:rPr>
              <w:t xml:space="preserve">省三等奖 </w:t>
            </w:r>
          </w:p>
        </w:tc>
      </w:tr>
    </w:tbl>
    <w:p>
      <w:pPr>
        <w:adjustRightInd w:val="0"/>
        <w:snapToGrid w:val="0"/>
        <w:spacing w:line="480" w:lineRule="exact"/>
        <w:ind w:firstLine="562" w:firstLineChars="200"/>
        <w:rPr>
          <w:b/>
          <w:bCs/>
          <w:sz w:val="28"/>
          <w:szCs w:val="28"/>
        </w:rPr>
      </w:pPr>
      <w:r>
        <w:rPr>
          <w:rFonts w:hint="eastAsia"/>
          <w:b/>
          <w:bCs/>
          <w:sz w:val="28"/>
          <w:szCs w:val="28"/>
        </w:rPr>
        <w:t>3.实践技能培养</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我校坚持高规格培养高素质卫生技术人才，通过技能大赛提高专业实践教学水平。各专业紧密对接行业和岗位能力需求，将行业和岗位最新技能标准融入课程教学，通过实验实训、社会实践和技能比赛，加强学生职业能力和创新创业能力培养。毕业生的岗位胜任力受到用人单位的一致好评。在教育部设立的卫生高职院校仅有的护理和中药两项职业技能大赛中，2017年我校累计获得12枚金牌、9枚银牌、3枚铜牌，金牌总数和奖牌总数位均居全国卫生类高职院校第一。</w:t>
      </w:r>
    </w:p>
    <w:bookmarkEnd w:id="0"/>
    <w:bookmarkEnd w:id="1"/>
    <w:p>
      <w:pPr>
        <w:spacing w:beforeLines="50" w:line="440" w:lineRule="exact"/>
        <w:ind w:firstLine="562" w:firstLineChars="200"/>
        <w:jc w:val="both"/>
        <w:rPr>
          <w:b/>
          <w:bCs/>
          <w:sz w:val="28"/>
          <w:szCs w:val="28"/>
        </w:rPr>
      </w:pPr>
      <w:r>
        <w:rPr>
          <w:rFonts w:hint="eastAsia"/>
          <w:b/>
          <w:bCs/>
          <w:sz w:val="28"/>
          <w:szCs w:val="28"/>
        </w:rPr>
        <w:t>（六）社会服务能力</w:t>
      </w:r>
    </w:p>
    <w:p>
      <w:pPr>
        <w:spacing w:line="440" w:lineRule="exact"/>
        <w:ind w:firstLine="562" w:firstLineChars="200"/>
        <w:jc w:val="both"/>
        <w:rPr>
          <w:b/>
          <w:sz w:val="28"/>
          <w:szCs w:val="28"/>
        </w:rPr>
      </w:pPr>
      <w:r>
        <w:rPr>
          <w:rFonts w:hint="eastAsia"/>
          <w:b/>
          <w:sz w:val="28"/>
          <w:szCs w:val="28"/>
        </w:rPr>
        <w:t>1.产学研创平台建设</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以“面向社会，合作互赢，凸显应用，服务区域”为理念，在“政校行企”合作办学理事会的统筹指导下，依托合作学校联盟、医教联合体与医药行企联盟，积极整合多方资源，搭建“江苏基层卫生发展与全科医学教育研究中心”、“江苏省博士后创新实践基地”、“江苏省药物一致性评价工程研究中心”等省级研究创新平台；组建基层卫生人才教育联盟、完善综合医技人才培训中心，成立社区健康学院，形成了多层级、全方位、立体化的社会服务网络。江苏基层卫生发展与全科医学教育研究中心完成了国内第一份省级层面关于基层卫生发展和改革报告—《江苏省基层卫生发展与改革报告》，经专家组鉴定，被认为是“各级领导和学者全面了解改革开放以来江苏省基层卫生发展和改革变化趋势的重要参考”。学校博士后创新实践基地是江苏省获批的2个高职院校博士后创新实践基地之一，基地的SPF级实验动物中心是盐城市唯一可实施动物疾病模型制备、动物行为实验的高校实验中心。基地针对盐城地区消化道肿瘤高发的特点，开展消化道肿瘤和靶向肿瘤药物等方面的研究，成果显著。目前承担国家自然科学基金项目2项、省级科研项目16项，其中，中国博士后基金2项、江苏省博士后基金2项，授权专利41项。</w:t>
      </w:r>
    </w:p>
    <w:p>
      <w:pPr>
        <w:spacing w:line="440" w:lineRule="exact"/>
        <w:ind w:firstLine="562" w:firstLineChars="200"/>
        <w:jc w:val="both"/>
        <w:rPr>
          <w:b/>
          <w:sz w:val="28"/>
          <w:szCs w:val="28"/>
        </w:rPr>
      </w:pPr>
      <w:r>
        <w:rPr>
          <w:rFonts w:hint="eastAsia"/>
          <w:b/>
          <w:sz w:val="28"/>
          <w:szCs w:val="28"/>
        </w:rPr>
        <w:t>2.产学研服协同推进</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各专业利用学科与技术优势，共建共享产学研平台和实践教学基地，并开展各自特色的产学研合作和社会服务。医学影像技术专业建立网络会诊中心；司法鉴定技术专业建立司法鉴定所，目前已接收近1500余例案件鉴定委托。药学专业搭建“江苏省药物一致性评价工程中心”医疗设备应用技术专业与盐城市铭华医疗器械有限公司合作开办生产</w:t>
      </w:r>
      <w:r>
        <w:rPr>
          <w:rFonts w:hint="eastAsia" w:asciiTheme="minorEastAsia" w:hAnsiTheme="minorEastAsia" w:eastAsiaTheme="minorEastAsia" w:cstheme="minorEastAsia"/>
          <w:color w:val="000000"/>
          <w:kern w:val="2"/>
          <w:sz w:val="28"/>
          <w:szCs w:val="28"/>
          <w:lang w:eastAsia="zh-CN"/>
        </w:rPr>
        <w:t>型</w:t>
      </w:r>
      <w:r>
        <w:rPr>
          <w:rFonts w:hint="eastAsia" w:asciiTheme="minorEastAsia" w:hAnsiTheme="minorEastAsia" w:eastAsiaTheme="minorEastAsia" w:cstheme="minorEastAsia"/>
          <w:color w:val="000000"/>
          <w:kern w:val="2"/>
          <w:sz w:val="28"/>
          <w:szCs w:val="28"/>
        </w:rPr>
        <w:t>实训基地-盐城市医疗器械维修服务中心；口腔医学技术专业与盐城金香玉医疗器械有限公司合作开办</w:t>
      </w:r>
      <w:bookmarkStart w:id="3" w:name="_GoBack"/>
      <w:bookmarkEnd w:id="3"/>
      <w:r>
        <w:rPr>
          <w:rFonts w:hint="eastAsia" w:asciiTheme="minorEastAsia" w:hAnsiTheme="minorEastAsia" w:eastAsiaTheme="minorEastAsia" w:cstheme="minorEastAsia"/>
          <w:color w:val="000000"/>
          <w:kern w:val="2"/>
          <w:sz w:val="28"/>
          <w:szCs w:val="28"/>
        </w:rPr>
        <w:t>“校中厂”；康复治疗技术专业、护理专业与药学专业与医院、企业合作开展现代学徒制人才培养改革。盐城金香玉医疗器械有限公司2017年校内社会服务收入总额80万元、盐卫司法鉴定所2017年校内社会服务收入总额44.8万元、金域医学检验所2017年校内社会服务总额收入120万。医院提供的校内实践教学设备值达753.48万元，较2016年增加了234.8万元。2017年纵向科研、培训服务到款额比2016年分别增长63.19%、51.54%，横向技术服务到款额比去年略有提升（表8）。</w:t>
      </w:r>
    </w:p>
    <w:p>
      <w:pPr>
        <w:spacing w:beforeLines="50" w:line="480" w:lineRule="exact"/>
        <w:jc w:val="center"/>
        <w:rPr>
          <w:rFonts w:asciiTheme="majorEastAsia" w:hAnsiTheme="majorEastAsia" w:eastAsiaTheme="majorEastAsia" w:cstheme="majorEastAsia"/>
          <w:b/>
        </w:rPr>
      </w:pPr>
      <w:r>
        <w:rPr>
          <w:rFonts w:hint="eastAsia" w:asciiTheme="majorEastAsia" w:hAnsiTheme="majorEastAsia" w:eastAsiaTheme="majorEastAsia" w:cstheme="majorEastAsia"/>
          <w:b/>
        </w:rPr>
        <w:t>表8  2016-2017年度政府购买服务和技术服务到款额一览表</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2396"/>
        <w:gridCol w:w="1737"/>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791" w:type="dxa"/>
            <w:gridSpan w:val="2"/>
            <w:vAlign w:val="center"/>
          </w:tcPr>
          <w:p>
            <w:pPr>
              <w:widowControl w:val="0"/>
              <w:adjustRightInd w:val="0"/>
              <w:snapToGrid w:val="0"/>
              <w:spacing w:beforeLines="50" w:line="240" w:lineRule="atLeast"/>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指标</w:t>
            </w:r>
          </w:p>
        </w:tc>
        <w:tc>
          <w:tcPr>
            <w:tcW w:w="1737" w:type="dxa"/>
            <w:vAlign w:val="center"/>
          </w:tcPr>
          <w:p>
            <w:pPr>
              <w:widowControl w:val="0"/>
              <w:tabs>
                <w:tab w:val="left" w:pos="253"/>
                <w:tab w:val="center" w:pos="662"/>
              </w:tabs>
              <w:spacing w:beforeLines="50" w:line="240" w:lineRule="atLeast"/>
              <w:jc w:val="center"/>
              <w:outlineLvl w:val="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2016</w:t>
            </w:r>
          </w:p>
        </w:tc>
        <w:tc>
          <w:tcPr>
            <w:tcW w:w="1994" w:type="dxa"/>
            <w:vAlign w:val="center"/>
          </w:tcPr>
          <w:p>
            <w:pPr>
              <w:widowControl w:val="0"/>
              <w:spacing w:beforeLines="50" w:line="240" w:lineRule="atLeast"/>
              <w:jc w:val="center"/>
              <w:outlineLvl w:val="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5" w:type="dxa"/>
            <w:vMerge w:val="restart"/>
            <w:vAlign w:val="center"/>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政府购买服务</w:t>
            </w:r>
          </w:p>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到款额（万元）</w:t>
            </w:r>
          </w:p>
        </w:tc>
        <w:tc>
          <w:tcPr>
            <w:tcW w:w="2396" w:type="dxa"/>
            <w:vAlign w:val="center"/>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扶贫专项</w:t>
            </w:r>
          </w:p>
        </w:tc>
        <w:tc>
          <w:tcPr>
            <w:tcW w:w="1737"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586.95</w:t>
            </w:r>
          </w:p>
        </w:tc>
        <w:tc>
          <w:tcPr>
            <w:tcW w:w="1994"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5" w:type="dxa"/>
            <w:vMerge w:val="continue"/>
            <w:vAlign w:val="center"/>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p>
        </w:tc>
        <w:tc>
          <w:tcPr>
            <w:tcW w:w="2396" w:type="dxa"/>
            <w:vAlign w:val="center"/>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社会人员培训</w:t>
            </w:r>
          </w:p>
        </w:tc>
        <w:tc>
          <w:tcPr>
            <w:tcW w:w="1737"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334.70</w:t>
            </w:r>
          </w:p>
        </w:tc>
        <w:tc>
          <w:tcPr>
            <w:tcW w:w="1994"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5" w:type="dxa"/>
            <w:vMerge w:val="continue"/>
            <w:vAlign w:val="center"/>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p>
        </w:tc>
        <w:tc>
          <w:tcPr>
            <w:tcW w:w="2396" w:type="dxa"/>
            <w:vAlign w:val="center"/>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社区服务</w:t>
            </w:r>
          </w:p>
        </w:tc>
        <w:tc>
          <w:tcPr>
            <w:tcW w:w="1737"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20.00</w:t>
            </w:r>
          </w:p>
        </w:tc>
        <w:tc>
          <w:tcPr>
            <w:tcW w:w="1994"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5" w:type="dxa"/>
            <w:vMerge w:val="restart"/>
            <w:vAlign w:val="center"/>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技术服务到款额（万元）</w:t>
            </w:r>
          </w:p>
        </w:tc>
        <w:tc>
          <w:tcPr>
            <w:tcW w:w="2396" w:type="dxa"/>
            <w:vAlign w:val="center"/>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纵向科研</w:t>
            </w:r>
          </w:p>
        </w:tc>
        <w:tc>
          <w:tcPr>
            <w:tcW w:w="1737"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45.10</w:t>
            </w:r>
          </w:p>
        </w:tc>
        <w:tc>
          <w:tcPr>
            <w:tcW w:w="1994"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5" w:type="dxa"/>
            <w:vMerge w:val="continue"/>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p>
        </w:tc>
        <w:tc>
          <w:tcPr>
            <w:tcW w:w="2396" w:type="dxa"/>
            <w:vAlign w:val="center"/>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横向技术服务</w:t>
            </w:r>
          </w:p>
        </w:tc>
        <w:tc>
          <w:tcPr>
            <w:tcW w:w="1737"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199.70</w:t>
            </w:r>
          </w:p>
        </w:tc>
        <w:tc>
          <w:tcPr>
            <w:tcW w:w="1994"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5" w:type="dxa"/>
            <w:vMerge w:val="continue"/>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p>
        </w:tc>
        <w:tc>
          <w:tcPr>
            <w:tcW w:w="2396" w:type="dxa"/>
            <w:vAlign w:val="center"/>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培训服务</w:t>
            </w:r>
          </w:p>
        </w:tc>
        <w:tc>
          <w:tcPr>
            <w:tcW w:w="1737"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69.62</w:t>
            </w:r>
          </w:p>
        </w:tc>
        <w:tc>
          <w:tcPr>
            <w:tcW w:w="1994"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5" w:type="dxa"/>
            <w:vMerge w:val="continue"/>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p>
        </w:tc>
        <w:tc>
          <w:tcPr>
            <w:tcW w:w="2396" w:type="dxa"/>
            <w:vAlign w:val="center"/>
          </w:tcPr>
          <w:p>
            <w:pPr>
              <w:widowControl w:val="0"/>
              <w:adjustRightInd w:val="0"/>
              <w:snapToGrid w:val="0"/>
              <w:spacing w:beforeLines="50" w:line="240" w:lineRule="atLeas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技术交易</w:t>
            </w:r>
          </w:p>
        </w:tc>
        <w:tc>
          <w:tcPr>
            <w:tcW w:w="1737"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50.14</w:t>
            </w:r>
          </w:p>
        </w:tc>
        <w:tc>
          <w:tcPr>
            <w:tcW w:w="1994" w:type="dxa"/>
            <w:vAlign w:val="center"/>
          </w:tcPr>
          <w:p>
            <w:pPr>
              <w:widowControl w:val="0"/>
              <w:adjustRightInd w:val="0"/>
              <w:snapToGrid w:val="0"/>
              <w:spacing w:beforeLines="50" w:line="240" w:lineRule="atLeas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54.25</w:t>
            </w:r>
          </w:p>
        </w:tc>
      </w:tr>
    </w:tbl>
    <w:p>
      <w:pPr>
        <w:widowControl w:val="0"/>
        <w:spacing w:line="440" w:lineRule="exact"/>
        <w:ind w:firstLine="562" w:firstLineChars="200"/>
        <w:jc w:val="both"/>
        <w:outlineLvl w:val="1"/>
        <w:rPr>
          <w:b/>
          <w:bCs/>
          <w:kern w:val="2"/>
          <w:sz w:val="28"/>
          <w:szCs w:val="28"/>
        </w:rPr>
      </w:pPr>
      <w:r>
        <w:rPr>
          <w:rFonts w:hint="eastAsia"/>
          <w:b/>
          <w:bCs/>
          <w:kern w:val="2"/>
          <w:sz w:val="28"/>
          <w:szCs w:val="28"/>
        </w:rPr>
        <w:t>3.卫生技术培训服务</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积极开发继续教育项目，实施“订单式”培训，完成乡村医生合理用药和急救知识培训等6项市级医学继续教育项目，累计培训3708人。积极与社区合作，开展高级养老护理员、育婴师、月嫂、康复治疗技术职业技能培训网络资源建设，逐步形成现场培训和网络自学相结合的终身教育平台。学校协同盐都区人民政府共建社区健康学院，建成4个科普基地，4个健康学院分院，4个大学生社会实践基地，完成3个健康促进项目，印制发放《盐城市民健康手册》10万册，制作家庭养老护理、中医保健等微课程45个，资源向社区居民开放。目前，学校已建成配套的健康促进基地和平台，利用社区健全的基层网络，协同开展健康教育与健康促进工作，提升区域居民健康教育服务水平。</w:t>
      </w:r>
    </w:p>
    <w:p>
      <w:pPr>
        <w:spacing w:beforeLines="50" w:line="440" w:lineRule="exact"/>
        <w:ind w:firstLine="562" w:firstLineChars="200"/>
        <w:jc w:val="both"/>
        <w:rPr>
          <w:b/>
          <w:bCs/>
          <w:sz w:val="28"/>
          <w:szCs w:val="28"/>
        </w:rPr>
      </w:pPr>
      <w:r>
        <w:rPr>
          <w:rFonts w:hint="eastAsia"/>
          <w:b/>
          <w:bCs/>
          <w:sz w:val="28"/>
          <w:szCs w:val="28"/>
        </w:rPr>
        <w:t>四、努力方向</w:t>
      </w:r>
    </w:p>
    <w:p>
      <w:pPr>
        <w:widowControl w:val="0"/>
        <w:spacing w:line="440" w:lineRule="exact"/>
        <w:ind w:firstLine="562" w:firstLineChars="200"/>
        <w:jc w:val="both"/>
        <w:outlineLvl w:val="1"/>
        <w:rPr>
          <w:b/>
          <w:bCs/>
          <w:kern w:val="2"/>
          <w:sz w:val="28"/>
          <w:szCs w:val="28"/>
        </w:rPr>
      </w:pPr>
      <w:r>
        <w:rPr>
          <w:rFonts w:hint="eastAsia"/>
          <w:b/>
          <w:bCs/>
          <w:kern w:val="2"/>
          <w:sz w:val="28"/>
          <w:szCs w:val="28"/>
        </w:rPr>
        <w:t>（一）持续拓展产学研创平台，不断提升产学研服水平</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学校今后将以建成的省级产学研创平台为基础，建立长效运行机制，以服务需求为导向，以共建共享为路径，围绕健康产业技术技能积累与创新，充分发挥政府主导、行业指导作用，不断引入多方资源，积极拓展产学研创项目和新的平台，促进产学研创成效不断扩大，产学研创能力不断提升。江苏基层卫生发展与全科医学教育研究中心要重点围绕基层医疗卫生服务体系建设、基层卫生人才培养、全科医学教育与培训、区域健康产业发展等开展系统研究，积极服务“健康江苏”建设。</w:t>
      </w:r>
    </w:p>
    <w:p>
      <w:pPr>
        <w:widowControl w:val="0"/>
        <w:spacing w:line="440" w:lineRule="exact"/>
        <w:ind w:firstLine="562" w:firstLineChars="200"/>
        <w:jc w:val="both"/>
        <w:outlineLvl w:val="1"/>
        <w:rPr>
          <w:b/>
          <w:bCs/>
          <w:kern w:val="2"/>
          <w:sz w:val="28"/>
          <w:szCs w:val="28"/>
        </w:rPr>
      </w:pPr>
      <w:r>
        <w:rPr>
          <w:rFonts w:hint="eastAsia"/>
          <w:b/>
          <w:bCs/>
          <w:kern w:val="2"/>
          <w:sz w:val="28"/>
          <w:szCs w:val="28"/>
        </w:rPr>
        <w:t>（二）不断深化医教协同育人机制，持续引领基层卫生人才培养</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医教协同是确保医学类人才培养质量的必然选择，面对新形势和新要求，我们要不断深化医教协同合作办学体制机制，巩固现有办学成果，持续加强基层卫生紧缺的“临床医学类”和“健康服务类”专业建设，优先发展临床医学、预防医学，巩固药学、护理、康复治疗技术等优势专业，稳步发展医学技术类、健康服务业和养老服务业等涉医专业，提升人才培养能力，提高基层卫生紧缺人才的供给力度和质量，在全省乃至全国发挥示范和引领作用，为服务健康中国战略作出更大贡献。</w:t>
      </w: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p>
    <w:p>
      <w:pPr>
        <w:widowControl w:val="0"/>
        <w:adjustRightInd w:val="0"/>
        <w:snapToGrid w:val="0"/>
        <w:spacing w:line="480" w:lineRule="exact"/>
        <w:ind w:firstLine="560" w:firstLineChars="200"/>
        <w:jc w:val="both"/>
        <w:rPr>
          <w:rFonts w:asciiTheme="minorEastAsia" w:hAnsiTheme="minorEastAsia" w:eastAsiaTheme="minorEastAsia" w:cstheme="minorEastAsia"/>
          <w:color w:val="000000"/>
          <w:kern w:val="2"/>
          <w:sz w:val="28"/>
          <w:szCs w:val="28"/>
        </w:rPr>
      </w:pPr>
    </w:p>
    <w:p>
      <w:pPr>
        <w:widowControl w:val="0"/>
        <w:adjustRightInd w:val="0"/>
        <w:snapToGrid w:val="0"/>
        <w:spacing w:line="480" w:lineRule="exact"/>
        <w:ind w:firstLine="480" w:firstLineChars="200"/>
        <w:jc w:val="both"/>
        <w:rPr>
          <w:rFonts w:asciiTheme="minorEastAsia" w:hAnsiTheme="minorEastAsia" w:eastAsiaTheme="minorEastAsia" w:cstheme="minorEastAsia"/>
          <w:color w:val="000000"/>
          <w:kern w:val="2"/>
          <w:sz w:val="28"/>
          <w:szCs w:val="28"/>
        </w:rPr>
      </w:pPr>
      <w:r>
        <w:rPr>
          <w:rFonts w:hint="eastAsia"/>
        </w:rPr>
        <w:t>注：数据来源高等职业院校人才培养工作状态数据采集与管理平台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A819"/>
    <w:multiLevelType w:val="singleLevel"/>
    <w:tmpl w:val="04BDA819"/>
    <w:lvl w:ilvl="0" w:tentative="0">
      <w:start w:val="2"/>
      <w:numFmt w:val="chineseCounting"/>
      <w:suff w:val="nothing"/>
      <w:lvlText w:val="（%1）"/>
      <w:lvlJc w:val="left"/>
      <w:pPr>
        <w:ind w:left="48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7B36"/>
    <w:rsid w:val="00417A1B"/>
    <w:rsid w:val="00491847"/>
    <w:rsid w:val="004E17F0"/>
    <w:rsid w:val="00797B36"/>
    <w:rsid w:val="00C83308"/>
    <w:rsid w:val="0F3F2EBA"/>
    <w:rsid w:val="3C924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5945;&#24072;&#25968;&#37327;&#19982;&#32467;&#26500;&#65288;2016&#12289;2017&#652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solidFill>
                  <a:srgbClr val="FF0000"/>
                </a:solidFill>
              </a:rPr>
              <a:t>职称结构</a:t>
            </a:r>
            <a:endParaRPr lang="zh-CN" altLang="en-US" b="1">
              <a:solidFill>
                <a:srgbClr val="FF0000"/>
              </a:solidFill>
            </a:endParaRPr>
          </a:p>
        </c:rich>
      </c:tx>
      <c:layout/>
      <c:overlay val="0"/>
      <c:spPr>
        <a:noFill/>
        <a:ln>
          <a:noFill/>
        </a:ln>
        <a:effectLst/>
      </c:spPr>
    </c:title>
    <c:autoTitleDeleted val="0"/>
    <c:plotArea>
      <c:layout/>
      <c:pieChart>
        <c:varyColors val="1"/>
        <c:ser>
          <c:idx val="0"/>
          <c:order val="0"/>
          <c:tx>
            <c:strRef>
              <c:f>'[教师数量与结构（2016、2017）.xlsx]2017年'!$K$6</c:f>
              <c:strCache>
                <c:ptCount val="1"/>
                <c:pt idx="0">
                  <c:v>比例（%）</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'[教师数量与结构（2016、2017）.xlsx]2017年'!$J$7:$J$9</c:f>
              <c:strCache>
                <c:ptCount val="3"/>
                <c:pt idx="0">
                  <c:v>初级职称</c:v>
                </c:pt>
                <c:pt idx="1">
                  <c:v>中级职称</c:v>
                </c:pt>
                <c:pt idx="2">
                  <c:v>高级职称</c:v>
                </c:pt>
              </c:strCache>
            </c:strRef>
          </c:cat>
          <c:val>
            <c:numRef>
              <c:f>'[教师数量与结构（2016、2017）.xlsx]2017年'!$K$7:$K$9</c:f>
              <c:numCache>
                <c:formatCode>0.00%</c:formatCode>
                <c:ptCount val="3"/>
                <c:pt idx="0">
                  <c:v>0.176</c:v>
                </c:pt>
                <c:pt idx="1">
                  <c:v>0.486800000000001</c:v>
                </c:pt>
                <c:pt idx="2">
                  <c:v>0.2786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43971770241129"/>
          <c:y val="0.80053191489361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200" b="1">
                <a:solidFill>
                  <a:srgbClr val="FF0000"/>
                </a:solidFill>
              </a:rPr>
              <a:t>专任青年教师</a:t>
            </a:r>
            <a:r>
              <a:rPr lang="en-US" altLang="zh-CN" sz="1200" b="1">
                <a:solidFill>
                  <a:srgbClr val="FF0000"/>
                </a:solidFill>
              </a:rPr>
              <a:t>45</a:t>
            </a:r>
            <a:r>
              <a:rPr lang="zh-CN" altLang="en-US" sz="1200" b="1">
                <a:solidFill>
                  <a:srgbClr val="FF0000"/>
                </a:solidFill>
              </a:rPr>
              <a:t>岁以下研究生以上学历</a:t>
            </a:r>
            <a:endParaRPr lang="zh-CN" altLang="en-US" sz="1200" b="1">
              <a:solidFill>
                <a:srgbClr val="FF0000"/>
              </a:solidFill>
            </a:endParaRPr>
          </a:p>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200" b="1">
                <a:solidFill>
                  <a:srgbClr val="FF0000"/>
                </a:solidFill>
              </a:rPr>
              <a:t>教师比例（</a:t>
            </a:r>
            <a:r>
              <a:rPr lang="en-US" altLang="zh-CN" sz="1200" b="1">
                <a:solidFill>
                  <a:srgbClr val="FF0000"/>
                </a:solidFill>
              </a:rPr>
              <a:t>%</a:t>
            </a:r>
            <a:r>
              <a:rPr lang="zh-CN" altLang="en-US" sz="1200" b="1">
                <a:solidFill>
                  <a:srgbClr val="FF0000"/>
                </a:solidFill>
              </a:rPr>
              <a:t>）</a:t>
            </a:r>
            <a:endParaRPr lang="zh-CN" altLang="en-US" sz="1200" b="1">
              <a:solidFill>
                <a:srgbClr val="FF0000"/>
              </a:solidFill>
            </a:endParaRPr>
          </a:p>
        </c:rich>
      </c:tx>
      <c:layout>
        <c:manualLayout>
          <c:xMode val="edge"/>
          <c:yMode val="edge"/>
          <c:x val="0.253699594368886"/>
          <c:y val="0.00419411859231882"/>
        </c:manualLayout>
      </c:layout>
      <c:overlay val="0"/>
      <c:spPr>
        <a:noFill/>
        <a:ln>
          <a:noFill/>
        </a:ln>
        <a:effectLst/>
      </c:spPr>
    </c:title>
    <c:autoTitleDeleted val="0"/>
    <c:plotArea>
      <c:layout/>
      <c:barChart>
        <c:barDir val="bar"/>
        <c:grouping val="clustered"/>
        <c:varyColors val="0"/>
        <c:ser>
          <c:idx val="0"/>
          <c:order val="0"/>
          <c:tx>
            <c:strRef>
              <c:f>'[新建 XLS 工作表.xls]Sheet1'!$A$3</c:f>
              <c:strCache>
                <c:ptCount val="1"/>
                <c:pt idx="0">
                  <c:v>专任青年教师45岁以下研究生以上学历教师比例</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'[新建 XLS 工作表.xls]Sheet1'!$B$1:$D$2</c:f>
              <c:multiLvlStrCache>
                <c:ptCount val="3"/>
                <c:lvl>
                  <c:pt idx="0">
                    <c:v>同类院校</c:v>
                  </c:pt>
                  <c:pt idx="1">
                    <c:v>全省平均水平</c:v>
                  </c:pt>
                  <c:pt idx="2">
                    <c:v>江苏医药职业学院</c:v>
                  </c:pt>
                </c:lvl>
                <c:lvl/>
              </c:multiLvlStrCache>
            </c:multiLvlStrRef>
          </c:cat>
          <c:val>
            <c:numRef>
              <c:f>'[新建 XLS 工作表.xls]Sheet1'!$B$3:$D$3</c:f>
              <c:numCache>
                <c:formatCode>0.00%</c:formatCode>
                <c:ptCount val="3"/>
                <c:pt idx="0">
                  <c:v>0.517</c:v>
                </c:pt>
                <c:pt idx="1">
                  <c:v>0.605100000000002</c:v>
                </c:pt>
                <c:pt idx="2">
                  <c:v>0.729300000000002</c:v>
                </c:pt>
              </c:numCache>
            </c:numRef>
          </c:val>
        </c:ser>
        <c:dLbls>
          <c:showLegendKey val="0"/>
          <c:showVal val="1"/>
          <c:showCatName val="0"/>
          <c:showSerName val="0"/>
          <c:showPercent val="0"/>
          <c:showBubbleSize val="0"/>
        </c:dLbls>
        <c:gapWidth val="182"/>
        <c:axId val="187251328"/>
        <c:axId val="187284864"/>
      </c:barChart>
      <c:catAx>
        <c:axId val="187251328"/>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87284864"/>
        <c:crosses val="autoZero"/>
        <c:auto val="1"/>
        <c:lblAlgn val="ctr"/>
        <c:lblOffset val="100"/>
        <c:noMultiLvlLbl val="0"/>
      </c:catAx>
      <c:valAx>
        <c:axId val="18728486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251328"/>
        <c:crosses val="autoZero"/>
        <c:crossBetween val="between"/>
      </c:valAx>
      <c:spPr>
        <a:noFill/>
        <a:ln>
          <a:noFill/>
        </a:ln>
        <a:effectLst/>
      </c:spPr>
    </c:plotArea>
    <c:plotVisOnly val="0"/>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spc="0" baseline="0">
                <a:solidFill>
                  <a:srgbClr val="FF0000"/>
                </a:solidFill>
                <a:latin typeface="+mn-lt"/>
                <a:ea typeface="+mn-ea"/>
                <a:cs typeface="+mn-cs"/>
              </a:defRPr>
            </a:pPr>
            <a:r>
              <a:rPr lang="zh-CN" altLang="en-US" sz="1200"/>
              <a:t>具有双师素质教师比例（</a:t>
            </a:r>
            <a:r>
              <a:rPr lang="en-US" altLang="zh-CN" sz="1200"/>
              <a:t>%</a:t>
            </a:r>
            <a:r>
              <a:rPr lang="zh-CN" altLang="en-US" sz="1200"/>
              <a:t>）</a:t>
            </a:r>
            <a:endParaRPr lang="zh-CN" altLang="en-US" sz="1200"/>
          </a:p>
        </c:rich>
      </c:tx>
      <c:layout>
        <c:manualLayout>
          <c:xMode val="edge"/>
          <c:yMode val="edge"/>
          <c:x val="0.286094674556213"/>
          <c:y val="0.0347991142043657"/>
        </c:manualLayout>
      </c:layout>
      <c:overlay val="0"/>
      <c:spPr>
        <a:noFill/>
        <a:ln>
          <a:noFill/>
        </a:ln>
        <a:effectLst/>
      </c:spPr>
    </c:title>
    <c:autoTitleDeleted val="0"/>
    <c:plotArea>
      <c:layout/>
      <c:barChart>
        <c:barDir val="bar"/>
        <c:grouping val="clustered"/>
        <c:varyColors val="0"/>
        <c:ser>
          <c:idx val="0"/>
          <c:order val="0"/>
          <c:tx>
            <c:strRef>
              <c:f>'[新建 XLS 工作表.xls]Sheet1'!$A$3</c:f>
              <c:strCache>
                <c:ptCount val="1"/>
                <c:pt idx="0">
                  <c:v>具有双师素质教师比例</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 工作表.xls]Sheet1'!$B$2:$E$2</c:f>
              <c:strCache>
                <c:ptCount val="4"/>
                <c:pt idx="0">
                  <c:v>同类院校</c:v>
                </c:pt>
                <c:pt idx="1">
                  <c:v>全省平均水平</c:v>
                </c:pt>
                <c:pt idx="2">
                  <c:v>全国平均水平</c:v>
                </c:pt>
                <c:pt idx="3">
                  <c:v>江苏医药职业学院</c:v>
                </c:pt>
              </c:strCache>
            </c:strRef>
          </c:cat>
          <c:val>
            <c:numRef>
              <c:f>'[新建 XLS 工作表.xls]Sheet1'!$B$3:$E$3</c:f>
              <c:numCache>
                <c:formatCode>0.00%</c:formatCode>
                <c:ptCount val="4"/>
                <c:pt idx="0">
                  <c:v>0.5223</c:v>
                </c:pt>
                <c:pt idx="1">
                  <c:v>0.771900000000003</c:v>
                </c:pt>
                <c:pt idx="2">
                  <c:v>0.5661</c:v>
                </c:pt>
                <c:pt idx="3">
                  <c:v>0.8827</c:v>
                </c:pt>
              </c:numCache>
            </c:numRef>
          </c:val>
        </c:ser>
        <c:dLbls>
          <c:showLegendKey val="0"/>
          <c:showVal val="1"/>
          <c:showCatName val="0"/>
          <c:showSerName val="0"/>
          <c:showPercent val="0"/>
          <c:showBubbleSize val="0"/>
        </c:dLbls>
        <c:gapWidth val="182"/>
        <c:axId val="191106432"/>
        <c:axId val="193267200"/>
      </c:barChart>
      <c:catAx>
        <c:axId val="191106432"/>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93267200"/>
        <c:crosses val="autoZero"/>
        <c:auto val="1"/>
        <c:lblAlgn val="ctr"/>
        <c:lblOffset val="100"/>
        <c:noMultiLvlLbl val="0"/>
      </c:catAx>
      <c:valAx>
        <c:axId val="19326720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1106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A243B-B857-451A-B1AD-D3FA4A58C6F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1704</Words>
  <Characters>9715</Characters>
  <Lines>80</Lines>
  <Paragraphs>22</Paragraphs>
  <TotalTime>51</TotalTime>
  <ScaleCrop>false</ScaleCrop>
  <LinksUpToDate>false</LinksUpToDate>
  <CharactersWithSpaces>11397</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2018-09-30T06:01:00Z</dcterms:created>
  <dc:creator>微软用户</dc:creator>
  <cp:lastModifiedBy>叮当法术</cp:lastModifiedBy>
  <dcterms:modified xsi:type="dcterms:W3CDTF">2018-11-16T01:55:43Z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